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68D43" w14:textId="77777777" w:rsidR="00E8113C" w:rsidRPr="00995C30" w:rsidRDefault="00E8113C" w:rsidP="00E8113C">
      <w:pPr>
        <w:ind w:right="-814"/>
        <w:jc w:val="right"/>
        <w:rPr>
          <w:rFonts w:eastAsia="Arial" w:cs="Arial"/>
          <w:b/>
        </w:rPr>
      </w:pPr>
      <w:bookmarkStart w:id="0" w:name="_GoBack"/>
      <w:bookmarkEnd w:id="0"/>
    </w:p>
    <w:p w14:paraId="31860D4C" w14:textId="77777777" w:rsidR="00E8113C" w:rsidRPr="00E8113C" w:rsidRDefault="00E8113C" w:rsidP="00E8113C">
      <w:pPr>
        <w:ind w:right="-814"/>
        <w:jc w:val="right"/>
        <w:rPr>
          <w:rFonts w:eastAsia="Arial" w:cs="Arial"/>
          <w:b/>
        </w:rPr>
      </w:pPr>
    </w:p>
    <w:tbl>
      <w:tblPr>
        <w:tblStyle w:val="Cuadrculadetab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7939"/>
      </w:tblGrid>
      <w:tr w:rsidR="00E8113C" w:rsidRPr="00643A84" w14:paraId="0E4F5297" w14:textId="77777777" w:rsidTr="009B0ED6">
        <w:tc>
          <w:tcPr>
            <w:tcW w:w="889" w:type="dxa"/>
            <w:shd w:val="clear" w:color="auto" w:fill="auto"/>
          </w:tcPr>
          <w:p w14:paraId="7EB8DACC"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Sesión</w:t>
            </w:r>
          </w:p>
        </w:tc>
        <w:tc>
          <w:tcPr>
            <w:tcW w:w="7939" w:type="dxa"/>
          </w:tcPr>
          <w:p w14:paraId="14AEBB2C" w14:textId="3E3208D9" w:rsidR="00E8113C" w:rsidRPr="00643A84" w:rsidRDefault="0027216E" w:rsidP="00C324AE">
            <w:pPr>
              <w:rPr>
                <w:rFonts w:eastAsia="Arial" w:cs="Arial"/>
                <w:bCs/>
                <w:sz w:val="20"/>
                <w:szCs w:val="20"/>
              </w:rPr>
            </w:pPr>
            <w:r w:rsidRPr="0027216E">
              <w:rPr>
                <w:rFonts w:eastAsia="Arial" w:cs="Arial"/>
                <w:bCs/>
                <w:sz w:val="20"/>
                <w:szCs w:val="20"/>
              </w:rPr>
              <w:t>CE.SO.2020.1</w:t>
            </w:r>
          </w:p>
        </w:tc>
      </w:tr>
      <w:tr w:rsidR="00E8113C" w:rsidRPr="00643A84" w14:paraId="60A47132" w14:textId="77777777" w:rsidTr="009B0ED6">
        <w:tc>
          <w:tcPr>
            <w:tcW w:w="889" w:type="dxa"/>
            <w:shd w:val="clear" w:color="auto" w:fill="auto"/>
          </w:tcPr>
          <w:p w14:paraId="142028E6"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Fecha</w:t>
            </w:r>
          </w:p>
        </w:tc>
        <w:tc>
          <w:tcPr>
            <w:tcW w:w="7939" w:type="dxa"/>
          </w:tcPr>
          <w:p w14:paraId="30CDC251" w14:textId="5FCCFD15" w:rsidR="00E8113C" w:rsidRPr="00643A84" w:rsidRDefault="003B2AFA" w:rsidP="00C324AE">
            <w:pPr>
              <w:rPr>
                <w:rFonts w:eastAsia="Arial" w:cs="Arial"/>
                <w:bCs/>
                <w:sz w:val="20"/>
                <w:szCs w:val="20"/>
              </w:rPr>
            </w:pPr>
            <w:r w:rsidRPr="003B2AFA">
              <w:rPr>
                <w:rFonts w:eastAsia="Arial" w:cs="Arial"/>
                <w:bCs/>
                <w:sz w:val="20"/>
                <w:szCs w:val="20"/>
              </w:rPr>
              <w:t>25 de febrero de 2020</w:t>
            </w:r>
          </w:p>
        </w:tc>
      </w:tr>
      <w:tr w:rsidR="00E8113C" w:rsidRPr="00643A84" w14:paraId="28774F82" w14:textId="77777777" w:rsidTr="009B0ED6">
        <w:tc>
          <w:tcPr>
            <w:tcW w:w="889" w:type="dxa"/>
            <w:shd w:val="clear" w:color="auto" w:fill="auto"/>
          </w:tcPr>
          <w:p w14:paraId="1F9767DA"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Hora</w:t>
            </w:r>
          </w:p>
        </w:tc>
        <w:tc>
          <w:tcPr>
            <w:tcW w:w="7939" w:type="dxa"/>
          </w:tcPr>
          <w:p w14:paraId="0E77E420" w14:textId="6AC03DD8" w:rsidR="00E8113C" w:rsidRPr="00643A84" w:rsidRDefault="00252FEF" w:rsidP="00C324AE">
            <w:pPr>
              <w:rPr>
                <w:rFonts w:eastAsia="Arial" w:cs="Arial"/>
                <w:bCs/>
                <w:sz w:val="20"/>
                <w:szCs w:val="20"/>
              </w:rPr>
            </w:pPr>
            <w:r w:rsidRPr="00252FEF">
              <w:rPr>
                <w:rFonts w:eastAsia="Arial" w:cs="Arial"/>
                <w:bCs/>
                <w:sz w:val="20"/>
                <w:szCs w:val="20"/>
              </w:rPr>
              <w:t>10:00 horas</w:t>
            </w:r>
          </w:p>
        </w:tc>
      </w:tr>
      <w:tr w:rsidR="00E8113C" w:rsidRPr="00643A84" w14:paraId="4E463B36" w14:textId="77777777" w:rsidTr="009B0ED6">
        <w:tc>
          <w:tcPr>
            <w:tcW w:w="889" w:type="dxa"/>
            <w:shd w:val="clear" w:color="auto" w:fill="auto"/>
          </w:tcPr>
          <w:p w14:paraId="0431E454"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Lugar</w:t>
            </w:r>
          </w:p>
        </w:tc>
        <w:tc>
          <w:tcPr>
            <w:tcW w:w="7939" w:type="dxa"/>
          </w:tcPr>
          <w:p w14:paraId="0911238A" w14:textId="77777777" w:rsidR="00E8113C" w:rsidRPr="00643A84" w:rsidRDefault="00643A84" w:rsidP="00C324AE">
            <w:pPr>
              <w:rPr>
                <w:rFonts w:eastAsia="Arial" w:cs="Arial"/>
                <w:bCs/>
                <w:sz w:val="20"/>
                <w:szCs w:val="20"/>
              </w:rPr>
            </w:pPr>
            <w:r w:rsidRPr="00643A84">
              <w:rPr>
                <w:rFonts w:eastAsia="Arial" w:cs="Arial"/>
                <w:bCs/>
                <w:sz w:val="20"/>
                <w:szCs w:val="20"/>
              </w:rPr>
              <w:t xml:space="preserve">SESAJ </w:t>
            </w:r>
          </w:p>
          <w:p w14:paraId="718D215F" w14:textId="77777777" w:rsidR="00643A84" w:rsidRPr="00643A84" w:rsidRDefault="00643A84" w:rsidP="00C324AE">
            <w:pPr>
              <w:rPr>
                <w:rFonts w:eastAsia="Arial" w:cs="Arial"/>
                <w:bCs/>
                <w:sz w:val="20"/>
                <w:szCs w:val="20"/>
              </w:rPr>
            </w:pPr>
            <w:r w:rsidRPr="00643A84">
              <w:rPr>
                <w:rFonts w:eastAsia="Arial" w:cs="Arial"/>
                <w:bCs/>
                <w:sz w:val="20"/>
                <w:szCs w:val="20"/>
              </w:rPr>
              <w:t>Av. de los Arcos 767, Col. Jardines del Bosque, C</w:t>
            </w:r>
            <w:r>
              <w:rPr>
                <w:rFonts w:eastAsia="Arial" w:cs="Arial"/>
                <w:bCs/>
                <w:sz w:val="20"/>
                <w:szCs w:val="20"/>
              </w:rPr>
              <w:t>.</w:t>
            </w:r>
            <w:r w:rsidRPr="00643A84">
              <w:rPr>
                <w:rFonts w:eastAsia="Arial" w:cs="Arial"/>
                <w:bCs/>
                <w:sz w:val="20"/>
                <w:szCs w:val="20"/>
              </w:rPr>
              <w:t>P</w:t>
            </w:r>
            <w:r>
              <w:rPr>
                <w:rFonts w:eastAsia="Arial" w:cs="Arial"/>
                <w:bCs/>
                <w:sz w:val="20"/>
                <w:szCs w:val="20"/>
              </w:rPr>
              <w:t>.</w:t>
            </w:r>
            <w:r w:rsidRPr="00643A84">
              <w:rPr>
                <w:rFonts w:eastAsia="Arial" w:cs="Arial"/>
                <w:bCs/>
                <w:sz w:val="20"/>
                <w:szCs w:val="20"/>
              </w:rPr>
              <w:t xml:space="preserve"> 44520, Guadalajara, Jalisco.</w:t>
            </w:r>
          </w:p>
        </w:tc>
      </w:tr>
    </w:tbl>
    <w:p w14:paraId="775A70A3" w14:textId="77777777" w:rsidR="00E8113C" w:rsidRDefault="00E8113C" w:rsidP="00C324AE">
      <w:pPr>
        <w:rPr>
          <w:rFonts w:eastAsia="Arial" w:cs="Arial"/>
          <w:b/>
          <w:szCs w:val="22"/>
        </w:rPr>
      </w:pPr>
    </w:p>
    <w:p w14:paraId="63A01E3D" w14:textId="77777777" w:rsidR="00BD7A12" w:rsidRDefault="00BD7A12" w:rsidP="00643A84">
      <w:pPr>
        <w:rPr>
          <w:rFonts w:eastAsia="Arial" w:cs="Arial"/>
          <w:b/>
        </w:rPr>
      </w:pPr>
    </w:p>
    <w:p w14:paraId="234EACB4" w14:textId="3A59E2AD" w:rsidR="00947DCA" w:rsidRDefault="00BE2EA5" w:rsidP="00C324AE">
      <w:pPr>
        <w:rPr>
          <w:rFonts w:eastAsia="Arial" w:cs="Arial"/>
          <w:szCs w:val="22"/>
        </w:rPr>
      </w:pPr>
      <w:r>
        <w:rPr>
          <w:rFonts w:eastAsia="Arial" w:cs="Arial"/>
          <w:szCs w:val="22"/>
        </w:rPr>
        <w:t xml:space="preserve">Conforme con lo </w:t>
      </w:r>
      <w:r w:rsidR="000A787E" w:rsidRPr="000A787E">
        <w:rPr>
          <w:rFonts w:eastAsia="Arial" w:cs="Arial"/>
          <w:szCs w:val="22"/>
        </w:rPr>
        <w:t>dispuesto en el artículo 32.1 de la Ley del Sistema Anticorrupción del Estado de Jalisco y el artículo 22 del Estatuto Orgánico de la Secretaría Ejecutiva del Sistema Estatal Anticorrupción de Jalisco, y previa convocatoria emitida el 18 de febrero de 2020, los integrantes de la Comisión Ejecutiva de la Secretaría Ejecutiva del Sistema Estatal Anticorrupción de Jalisco celebran la Primera Sesión Ordinaria en el día, hora y ubicación arriba señaladas, bajo el siguiente</w:t>
      </w:r>
    </w:p>
    <w:p w14:paraId="7EBFCD9A" w14:textId="77777777" w:rsidR="000A787E" w:rsidRPr="00DB169F" w:rsidRDefault="000A787E" w:rsidP="00C324AE">
      <w:pPr>
        <w:rPr>
          <w:rFonts w:eastAsia="Arial" w:cs="Arial"/>
          <w:szCs w:val="22"/>
        </w:rPr>
      </w:pPr>
    </w:p>
    <w:p w14:paraId="1C444185" w14:textId="77777777" w:rsidR="00D14E66" w:rsidRDefault="00643A84" w:rsidP="00D14E66">
      <w:pPr>
        <w:rPr>
          <w:rFonts w:eastAsia="Arial" w:cs="Arial"/>
          <w:b/>
          <w:bCs/>
          <w:color w:val="006078"/>
          <w:szCs w:val="22"/>
        </w:rPr>
      </w:pPr>
      <w:r w:rsidRPr="00643A84">
        <w:rPr>
          <w:rFonts w:eastAsia="Arial" w:cs="Arial"/>
          <w:b/>
          <w:bCs/>
          <w:color w:val="006078"/>
          <w:szCs w:val="22"/>
        </w:rPr>
        <w:t>Orden del día</w:t>
      </w:r>
    </w:p>
    <w:p w14:paraId="019253C7" w14:textId="77777777" w:rsidR="00DC0428" w:rsidRPr="00DC0428" w:rsidRDefault="00DC0428" w:rsidP="00D14E66">
      <w:pPr>
        <w:rPr>
          <w:rFonts w:eastAsia="Arial" w:cs="Arial"/>
          <w:b/>
          <w:bCs/>
          <w:color w:val="006078"/>
          <w:szCs w:val="22"/>
        </w:rPr>
      </w:pPr>
    </w:p>
    <w:p w14:paraId="7425237A" w14:textId="77777777" w:rsidR="002F7E3C" w:rsidRPr="002F7E3C" w:rsidRDefault="002F7E3C" w:rsidP="002F7E3C">
      <w:pPr>
        <w:pStyle w:val="Prrafodelista"/>
        <w:numPr>
          <w:ilvl w:val="0"/>
          <w:numId w:val="14"/>
        </w:numPr>
        <w:ind w:right="333"/>
        <w:rPr>
          <w:rFonts w:eastAsia="Arial"/>
        </w:rPr>
      </w:pPr>
      <w:r w:rsidRPr="002F7E3C">
        <w:rPr>
          <w:rFonts w:eastAsia="Arial"/>
        </w:rPr>
        <w:t>Lista de asistencia, declaratoria de quorum y apertura de la sesión</w:t>
      </w:r>
    </w:p>
    <w:p w14:paraId="4FCEFA0D" w14:textId="77777777" w:rsidR="002F7E3C" w:rsidRPr="002F7E3C" w:rsidRDefault="002F7E3C" w:rsidP="002F7E3C">
      <w:pPr>
        <w:pStyle w:val="Prrafodelista"/>
        <w:numPr>
          <w:ilvl w:val="0"/>
          <w:numId w:val="14"/>
        </w:numPr>
        <w:ind w:right="333"/>
        <w:rPr>
          <w:rFonts w:eastAsia="Arial"/>
        </w:rPr>
      </w:pPr>
      <w:r w:rsidRPr="002F7E3C">
        <w:rPr>
          <w:rFonts w:eastAsia="Arial"/>
        </w:rPr>
        <w:t>Lectura y, en su caso, aprobación del Orden del día</w:t>
      </w:r>
    </w:p>
    <w:p w14:paraId="525BB2F1" w14:textId="77777777" w:rsidR="002F7E3C" w:rsidRPr="002F7E3C" w:rsidRDefault="002F7E3C" w:rsidP="002F7E3C">
      <w:pPr>
        <w:pStyle w:val="Prrafodelista"/>
        <w:numPr>
          <w:ilvl w:val="0"/>
          <w:numId w:val="14"/>
        </w:numPr>
        <w:ind w:right="333"/>
        <w:rPr>
          <w:rFonts w:eastAsia="Arial"/>
        </w:rPr>
      </w:pPr>
      <w:r w:rsidRPr="002F7E3C">
        <w:rPr>
          <w:rFonts w:eastAsia="Arial"/>
        </w:rPr>
        <w:t>Lectura, y en su caso, aprobación y firma del Acta de la sesión celebrada el 10 de diciembre de 2019</w:t>
      </w:r>
    </w:p>
    <w:p w14:paraId="22ECA8CF" w14:textId="77777777" w:rsidR="002F7E3C" w:rsidRPr="002F7E3C" w:rsidRDefault="002F7E3C" w:rsidP="002F7E3C">
      <w:pPr>
        <w:pStyle w:val="Prrafodelista"/>
        <w:numPr>
          <w:ilvl w:val="0"/>
          <w:numId w:val="14"/>
        </w:numPr>
        <w:ind w:right="333"/>
        <w:rPr>
          <w:rFonts w:eastAsia="Arial"/>
        </w:rPr>
      </w:pPr>
      <w:r w:rsidRPr="002F7E3C">
        <w:rPr>
          <w:rFonts w:eastAsia="Arial"/>
        </w:rPr>
        <w:t>Presentación del seguimiento de acuerdos</w:t>
      </w:r>
    </w:p>
    <w:p w14:paraId="6C14DE32" w14:textId="77777777" w:rsidR="002F7E3C" w:rsidRPr="002F7E3C" w:rsidRDefault="002F7E3C" w:rsidP="002F7E3C">
      <w:pPr>
        <w:pStyle w:val="Prrafodelista"/>
        <w:numPr>
          <w:ilvl w:val="0"/>
          <w:numId w:val="14"/>
        </w:numPr>
        <w:ind w:right="333"/>
        <w:rPr>
          <w:rFonts w:eastAsia="Arial"/>
        </w:rPr>
      </w:pPr>
      <w:r w:rsidRPr="002F7E3C">
        <w:rPr>
          <w:rFonts w:eastAsia="Arial"/>
        </w:rPr>
        <w:t>Presentación del Programa de Trabajo 2020</w:t>
      </w:r>
    </w:p>
    <w:p w14:paraId="779D0B90" w14:textId="77777777" w:rsidR="002F7E3C" w:rsidRPr="002F7E3C" w:rsidRDefault="002F7E3C" w:rsidP="002F7E3C">
      <w:pPr>
        <w:pStyle w:val="Prrafodelista"/>
        <w:numPr>
          <w:ilvl w:val="0"/>
          <w:numId w:val="14"/>
        </w:numPr>
        <w:ind w:right="333"/>
        <w:rPr>
          <w:rFonts w:eastAsia="Arial"/>
        </w:rPr>
      </w:pPr>
      <w:r w:rsidRPr="002F7E3C">
        <w:rPr>
          <w:rFonts w:eastAsia="Arial"/>
        </w:rPr>
        <w:t>Propuesta y, en su caso, aprobación de la estructura y contenido del Informe de Actividades 2019-2020 del Comité Coordinador (avance)</w:t>
      </w:r>
    </w:p>
    <w:p w14:paraId="5ED186A0" w14:textId="77777777" w:rsidR="002F7E3C" w:rsidRPr="002F7E3C" w:rsidRDefault="002F7E3C" w:rsidP="002F7E3C">
      <w:pPr>
        <w:pStyle w:val="Prrafodelista"/>
        <w:numPr>
          <w:ilvl w:val="0"/>
          <w:numId w:val="14"/>
        </w:numPr>
        <w:ind w:right="333"/>
        <w:rPr>
          <w:rFonts w:eastAsia="Arial"/>
        </w:rPr>
      </w:pPr>
      <w:r w:rsidRPr="002F7E3C">
        <w:rPr>
          <w:rFonts w:eastAsia="Arial"/>
        </w:rPr>
        <w:t>Integración de la Propuesta de Política Estatal Anticorrupción (seguimiento)</w:t>
      </w:r>
    </w:p>
    <w:p w14:paraId="272696F2" w14:textId="77777777" w:rsidR="002F7E3C" w:rsidRPr="002F7E3C" w:rsidRDefault="002F7E3C" w:rsidP="002F7E3C">
      <w:pPr>
        <w:pStyle w:val="Prrafodelista"/>
        <w:numPr>
          <w:ilvl w:val="0"/>
          <w:numId w:val="14"/>
        </w:numPr>
        <w:ind w:right="333"/>
        <w:rPr>
          <w:rFonts w:eastAsia="Arial"/>
        </w:rPr>
      </w:pPr>
      <w:r w:rsidRPr="002F7E3C">
        <w:rPr>
          <w:rFonts w:eastAsia="Arial"/>
        </w:rPr>
        <w:t>Asuntos generales</w:t>
      </w:r>
    </w:p>
    <w:p w14:paraId="0E798E32" w14:textId="77777777" w:rsidR="002F7E3C" w:rsidRPr="002F7E3C" w:rsidRDefault="002F7E3C" w:rsidP="002F7E3C">
      <w:pPr>
        <w:pStyle w:val="Prrafodelista"/>
        <w:numPr>
          <w:ilvl w:val="0"/>
          <w:numId w:val="14"/>
        </w:numPr>
        <w:ind w:right="333"/>
        <w:rPr>
          <w:rFonts w:eastAsia="Arial"/>
        </w:rPr>
      </w:pPr>
      <w:r w:rsidRPr="002F7E3C">
        <w:rPr>
          <w:rFonts w:eastAsia="Arial"/>
        </w:rPr>
        <w:t>Acuerdos</w:t>
      </w:r>
    </w:p>
    <w:p w14:paraId="05A88D15" w14:textId="32828E76" w:rsidR="00643A84" w:rsidRDefault="002F7E3C" w:rsidP="00703645">
      <w:pPr>
        <w:pStyle w:val="Prrafodelista"/>
        <w:numPr>
          <w:ilvl w:val="0"/>
          <w:numId w:val="14"/>
        </w:numPr>
        <w:ind w:right="333"/>
        <w:rPr>
          <w:rFonts w:eastAsia="Arial"/>
        </w:rPr>
      </w:pPr>
      <w:r w:rsidRPr="002F7E3C">
        <w:rPr>
          <w:rFonts w:eastAsia="Arial"/>
        </w:rPr>
        <w:t>Clausura de la sesión</w:t>
      </w:r>
    </w:p>
    <w:p w14:paraId="55A00215" w14:textId="77777777" w:rsidR="00703645" w:rsidRPr="00703645" w:rsidRDefault="00703645" w:rsidP="00703645">
      <w:pPr>
        <w:ind w:right="333"/>
        <w:rPr>
          <w:rFonts w:eastAsia="Arial"/>
        </w:rPr>
      </w:pPr>
    </w:p>
    <w:p w14:paraId="2E3905BE" w14:textId="77777777" w:rsidR="00643A84" w:rsidRPr="00187922" w:rsidRDefault="00643A84" w:rsidP="00DB169F">
      <w:pPr>
        <w:jc w:val="center"/>
        <w:rPr>
          <w:rFonts w:eastAsia="Arial" w:cs="Arial"/>
          <w:szCs w:val="22"/>
        </w:rPr>
      </w:pPr>
    </w:p>
    <w:p w14:paraId="2822D964" w14:textId="50E2DD2E" w:rsidR="0051331E" w:rsidRPr="00061CB3" w:rsidRDefault="004D0ED2" w:rsidP="00061CB3">
      <w:pPr>
        <w:pStyle w:val="Prrafodelista"/>
        <w:numPr>
          <w:ilvl w:val="0"/>
          <w:numId w:val="7"/>
        </w:numPr>
        <w:rPr>
          <w:rFonts w:eastAsia="Arial" w:cs="Arial"/>
          <w:b/>
          <w:bCs/>
          <w:color w:val="006078"/>
          <w:szCs w:val="22"/>
        </w:rPr>
      </w:pPr>
      <w:r w:rsidRPr="00061CB3">
        <w:rPr>
          <w:rFonts w:eastAsia="Arial" w:cs="Arial"/>
          <w:b/>
          <w:bCs/>
          <w:color w:val="006078"/>
          <w:szCs w:val="22"/>
        </w:rPr>
        <w:t xml:space="preserve"> </w:t>
      </w:r>
      <w:r w:rsidR="00061CB3" w:rsidRPr="00061CB3">
        <w:rPr>
          <w:rFonts w:eastAsia="Arial" w:cs="Arial"/>
          <w:b/>
          <w:bCs/>
          <w:color w:val="006078"/>
          <w:szCs w:val="22"/>
        </w:rPr>
        <w:t>Lista de asistencia, declaratoria de quorum y apertura de la sesión</w:t>
      </w:r>
    </w:p>
    <w:p w14:paraId="38C4731D" w14:textId="77777777" w:rsidR="00DC0428" w:rsidRPr="0051331E" w:rsidRDefault="00DC0428" w:rsidP="0051331E">
      <w:pPr>
        <w:ind w:left="360"/>
        <w:rPr>
          <w:rFonts w:eastAsia="Arial" w:cs="Arial"/>
          <w:b/>
          <w:bCs/>
          <w:color w:val="006078"/>
          <w:szCs w:val="22"/>
        </w:rPr>
      </w:pPr>
    </w:p>
    <w:p w14:paraId="11B3CCF6" w14:textId="0B2EB030" w:rsidR="0016151D" w:rsidRDefault="00FA2772" w:rsidP="00FA2772">
      <w:pPr>
        <w:rPr>
          <w:rFonts w:eastAsia="Arial" w:cs="Arial"/>
          <w:szCs w:val="22"/>
          <w:lang w:val="es-ES"/>
        </w:rPr>
      </w:pPr>
      <w:r w:rsidRPr="00FA2772">
        <w:rPr>
          <w:rFonts w:eastAsia="Arial" w:cs="Arial"/>
          <w:szCs w:val="22"/>
          <w:lang w:val="es-ES"/>
        </w:rPr>
        <w:t>La Secretaria Técnica, Haimé Figueroa Neri, da la bienvenida y agradece a los asistentes su presencia; verifica la asistencia de los cinco integrantes de la Comisión Ejecutiva, por lo que existe el quorum necesario y da inicio a la sesión.</w:t>
      </w:r>
    </w:p>
    <w:p w14:paraId="1929DEBB" w14:textId="77777777" w:rsidR="00FA2772" w:rsidRDefault="00FA2772" w:rsidP="00D14E66">
      <w:pPr>
        <w:jc w:val="center"/>
        <w:rPr>
          <w:rFonts w:eastAsia="Arial" w:cs="Arial"/>
          <w:szCs w:val="22"/>
        </w:rPr>
      </w:pPr>
    </w:p>
    <w:p w14:paraId="72EEB76A" w14:textId="153993D9" w:rsidR="002803DF" w:rsidRPr="002803DF" w:rsidRDefault="002803DF" w:rsidP="002803DF">
      <w:pPr>
        <w:pStyle w:val="Prrafodelista"/>
        <w:numPr>
          <w:ilvl w:val="0"/>
          <w:numId w:val="7"/>
        </w:numPr>
        <w:rPr>
          <w:rFonts w:eastAsia="Arial" w:cs="Arial"/>
          <w:b/>
          <w:bCs/>
          <w:color w:val="006078"/>
          <w:szCs w:val="22"/>
        </w:rPr>
      </w:pPr>
      <w:r w:rsidRPr="002803DF">
        <w:rPr>
          <w:rFonts w:eastAsia="Arial" w:cs="Arial"/>
          <w:b/>
          <w:bCs/>
          <w:color w:val="006078"/>
          <w:szCs w:val="22"/>
        </w:rPr>
        <w:t>Lectura y, en su caso, aprobación del Orden del día</w:t>
      </w:r>
    </w:p>
    <w:p w14:paraId="03B8D2C4" w14:textId="77777777" w:rsidR="00187922" w:rsidRDefault="00187922" w:rsidP="00DC0428">
      <w:pPr>
        <w:jc w:val="center"/>
        <w:rPr>
          <w:rFonts w:eastAsia="Arial" w:cs="Arial"/>
          <w:b/>
          <w:bCs/>
          <w:color w:val="006078"/>
          <w:szCs w:val="22"/>
          <w:lang w:val="es-ES"/>
        </w:rPr>
      </w:pPr>
    </w:p>
    <w:p w14:paraId="472AFAE6" w14:textId="044A7FBB" w:rsidR="00C86FA3" w:rsidRDefault="00FD21C7" w:rsidP="00CD0D2D">
      <w:pPr>
        <w:pStyle w:val="Prrafodelista"/>
        <w:jc w:val="both"/>
        <w:rPr>
          <w:rFonts w:eastAsia="Arial" w:cs="Arial"/>
          <w:szCs w:val="22"/>
        </w:rPr>
      </w:pPr>
      <w:r w:rsidRPr="00FD21C7">
        <w:rPr>
          <w:rFonts w:eastAsia="Arial" w:cs="Arial"/>
          <w:szCs w:val="22"/>
        </w:rPr>
        <w:t>La Secretaria Técnica da lectura al Orden del día, tras lo cual lo somete a votación y es aprobado por los integrantes de la Comisión Ejecutiva.</w:t>
      </w:r>
    </w:p>
    <w:p w14:paraId="56E818E7" w14:textId="77777777" w:rsidR="00C86FA3" w:rsidRDefault="00C86FA3" w:rsidP="00C86FA3">
      <w:pPr>
        <w:rPr>
          <w:rFonts w:eastAsia="Arial" w:cs="Arial"/>
          <w:b/>
          <w:bCs/>
          <w:color w:val="006078"/>
          <w:szCs w:val="22"/>
          <w:lang w:val="es-ES"/>
        </w:rPr>
      </w:pPr>
    </w:p>
    <w:p w14:paraId="5773B76D" w14:textId="22A79BF9" w:rsidR="00CF6CD5" w:rsidRPr="00CF6CD5" w:rsidRDefault="00CF6CD5" w:rsidP="00CF6CD5">
      <w:pPr>
        <w:pStyle w:val="Prrafodelista"/>
        <w:numPr>
          <w:ilvl w:val="0"/>
          <w:numId w:val="7"/>
        </w:numPr>
        <w:rPr>
          <w:rFonts w:eastAsia="Arial" w:cs="Arial"/>
          <w:b/>
          <w:bCs/>
          <w:color w:val="006078"/>
          <w:szCs w:val="22"/>
        </w:rPr>
      </w:pPr>
      <w:r w:rsidRPr="00CF6CD5">
        <w:rPr>
          <w:rFonts w:eastAsia="Arial" w:cs="Arial"/>
          <w:b/>
          <w:bCs/>
          <w:color w:val="006078"/>
          <w:szCs w:val="22"/>
        </w:rPr>
        <w:lastRenderedPageBreak/>
        <w:t>Lectura y, en su caso, aprobación y firma del Acta de la sesión celebrada el 10 de diciembre de 2019</w:t>
      </w:r>
    </w:p>
    <w:p w14:paraId="0712FF7C" w14:textId="089A736D" w:rsidR="00771A6F" w:rsidRDefault="00771A6F" w:rsidP="00C86FA3">
      <w:pPr>
        <w:rPr>
          <w:rFonts w:cs="Arial"/>
        </w:rPr>
      </w:pPr>
    </w:p>
    <w:p w14:paraId="284AC3A3" w14:textId="78B7539D" w:rsidR="002C181A" w:rsidRDefault="001E59AF" w:rsidP="00C86FA3">
      <w:pPr>
        <w:rPr>
          <w:rFonts w:cs="Arial"/>
        </w:rPr>
      </w:pPr>
      <w:r w:rsidRPr="001E59AF">
        <w:rPr>
          <w:rFonts w:cs="Arial"/>
        </w:rPr>
        <w:t>La Secretaria Técnica menciona que se envió el acta correspondiente vía correo electrónico con anterioridad, por lo que solicita se obvie su lectura y somete a aprobación el documento en mención. El acta es aprobada por los integrantes de la Comisión Ejecutiva y se recaban las firmas correspondientes.</w:t>
      </w:r>
    </w:p>
    <w:p w14:paraId="2C0FB34B" w14:textId="77777777" w:rsidR="001E59AF" w:rsidRDefault="001E59AF" w:rsidP="00C86FA3">
      <w:pPr>
        <w:rPr>
          <w:rFonts w:cs="Arial"/>
        </w:rPr>
      </w:pPr>
    </w:p>
    <w:p w14:paraId="0CB7F764" w14:textId="71640663" w:rsidR="002C181A" w:rsidRPr="005B0363" w:rsidRDefault="0003088E" w:rsidP="005B0363">
      <w:pPr>
        <w:pStyle w:val="Prrafodelista"/>
        <w:numPr>
          <w:ilvl w:val="0"/>
          <w:numId w:val="7"/>
        </w:numPr>
        <w:rPr>
          <w:rFonts w:eastAsia="Arial" w:cs="Arial"/>
          <w:b/>
          <w:bCs/>
          <w:color w:val="006078"/>
          <w:szCs w:val="22"/>
        </w:rPr>
      </w:pPr>
      <w:r w:rsidRPr="005B0363">
        <w:rPr>
          <w:rFonts w:eastAsia="Arial" w:cs="Arial"/>
          <w:b/>
          <w:bCs/>
          <w:color w:val="006078"/>
          <w:szCs w:val="22"/>
        </w:rPr>
        <w:t>Seguimiento de acuerdos</w:t>
      </w:r>
    </w:p>
    <w:p w14:paraId="5ED03D37" w14:textId="77777777" w:rsidR="0003088E" w:rsidRDefault="0003088E" w:rsidP="00C86FA3">
      <w:pPr>
        <w:rPr>
          <w:rFonts w:cs="Arial"/>
        </w:rPr>
      </w:pPr>
    </w:p>
    <w:p w14:paraId="7EDFF82F" w14:textId="624A5BCF" w:rsidR="00C86FA3" w:rsidRPr="00A401B8" w:rsidRDefault="00B84336" w:rsidP="00C86FA3">
      <w:pPr>
        <w:rPr>
          <w:rFonts w:cs="Arial"/>
        </w:rPr>
      </w:pPr>
      <w:r w:rsidRPr="00B84336">
        <w:rPr>
          <w:rFonts w:cs="Arial"/>
        </w:rPr>
        <w:t>La Secretaria Técnica da lectura a los acuerdos que se encuentran en proceso:</w:t>
      </w:r>
    </w:p>
    <w:tbl>
      <w:tblPr>
        <w:tblStyle w:val="Tabladelista3-nfasis6"/>
        <w:tblW w:w="0" w:type="auto"/>
        <w:tblLook w:val="04A0" w:firstRow="1" w:lastRow="0" w:firstColumn="1" w:lastColumn="0" w:noHBand="0" w:noVBand="1"/>
      </w:tblPr>
      <w:tblGrid>
        <w:gridCol w:w="704"/>
        <w:gridCol w:w="2268"/>
        <w:gridCol w:w="3119"/>
        <w:gridCol w:w="2737"/>
      </w:tblGrid>
      <w:tr w:rsidR="00C86FA3" w14:paraId="1BC84D58" w14:textId="77777777" w:rsidTr="00771A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4" w:type="dxa"/>
            <w:shd w:val="clear" w:color="auto" w:fill="006078"/>
          </w:tcPr>
          <w:p w14:paraId="71410F7E" w14:textId="77777777" w:rsidR="00C86FA3" w:rsidRPr="00C86FA3" w:rsidRDefault="00C86FA3" w:rsidP="006B3FF0">
            <w:pPr>
              <w:jc w:val="center"/>
              <w:rPr>
                <w:rFonts w:eastAsia="Arial" w:cs="Arial"/>
                <w:b w:val="0"/>
                <w:bCs w:val="0"/>
                <w:szCs w:val="22"/>
                <w:lang w:val="es-ES"/>
              </w:rPr>
            </w:pPr>
            <w:r w:rsidRPr="00C86FA3">
              <w:rPr>
                <w:rFonts w:eastAsia="Arial" w:cs="Arial"/>
                <w:b w:val="0"/>
                <w:bCs w:val="0"/>
                <w:szCs w:val="22"/>
                <w:lang w:val="es-ES"/>
              </w:rPr>
              <w:t>Año</w:t>
            </w:r>
          </w:p>
        </w:tc>
        <w:tc>
          <w:tcPr>
            <w:tcW w:w="2268" w:type="dxa"/>
            <w:shd w:val="clear" w:color="auto" w:fill="006078"/>
          </w:tcPr>
          <w:p w14:paraId="67FC4EAE" w14:textId="77777777" w:rsidR="00C86FA3" w:rsidRPr="00C86FA3" w:rsidRDefault="00C86FA3" w:rsidP="006B3FF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C86FA3">
              <w:rPr>
                <w:rFonts w:eastAsia="Arial" w:cs="Arial"/>
                <w:b w:val="0"/>
                <w:bCs w:val="0"/>
                <w:szCs w:val="22"/>
                <w:lang w:val="es-ES"/>
              </w:rPr>
              <w:t>N</w:t>
            </w:r>
            <w:r>
              <w:rPr>
                <w:rFonts w:eastAsia="Arial" w:cs="Arial"/>
                <w:b w:val="0"/>
                <w:bCs w:val="0"/>
                <w:szCs w:val="22"/>
                <w:lang w:val="es-ES"/>
              </w:rPr>
              <w:t>ú</w:t>
            </w:r>
            <w:r w:rsidRPr="00C86FA3">
              <w:rPr>
                <w:rFonts w:eastAsia="Arial" w:cs="Arial"/>
                <w:b w:val="0"/>
                <w:bCs w:val="0"/>
                <w:szCs w:val="22"/>
                <w:lang w:val="es-ES"/>
              </w:rPr>
              <w:t>mero y fecha</w:t>
            </w:r>
          </w:p>
        </w:tc>
        <w:tc>
          <w:tcPr>
            <w:tcW w:w="3119" w:type="dxa"/>
            <w:shd w:val="clear" w:color="auto" w:fill="006078"/>
          </w:tcPr>
          <w:p w14:paraId="5563576E" w14:textId="77777777" w:rsidR="00C86FA3" w:rsidRPr="00C86FA3" w:rsidRDefault="00C86FA3" w:rsidP="006B3FF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C86FA3">
              <w:rPr>
                <w:rFonts w:eastAsia="Arial" w:cs="Arial"/>
                <w:b w:val="0"/>
                <w:bCs w:val="0"/>
                <w:szCs w:val="22"/>
                <w:lang w:val="es-ES"/>
              </w:rPr>
              <w:t>Asunto</w:t>
            </w:r>
          </w:p>
        </w:tc>
        <w:tc>
          <w:tcPr>
            <w:tcW w:w="2737" w:type="dxa"/>
            <w:shd w:val="clear" w:color="auto" w:fill="006078"/>
          </w:tcPr>
          <w:p w14:paraId="5F1DF837" w14:textId="77777777" w:rsidR="00C86FA3" w:rsidRPr="00C86FA3" w:rsidRDefault="00C86FA3" w:rsidP="006B3FF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C86FA3">
              <w:rPr>
                <w:rFonts w:eastAsia="Arial" w:cs="Arial"/>
                <w:b w:val="0"/>
                <w:bCs w:val="0"/>
                <w:szCs w:val="22"/>
                <w:lang w:val="es-ES"/>
              </w:rPr>
              <w:t>Estado</w:t>
            </w:r>
          </w:p>
        </w:tc>
      </w:tr>
      <w:tr w:rsidR="00C86FA3" w14:paraId="4736B551" w14:textId="77777777" w:rsidTr="00771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8DD12FC" w14:textId="77777777" w:rsidR="00924154" w:rsidRDefault="00924154" w:rsidP="00C86FA3">
            <w:pPr>
              <w:rPr>
                <w:rFonts w:eastAsia="Arial" w:cs="Arial"/>
                <w:b w:val="0"/>
                <w:bCs w:val="0"/>
                <w:sz w:val="20"/>
                <w:szCs w:val="20"/>
                <w:lang w:val="es-ES"/>
              </w:rPr>
            </w:pPr>
          </w:p>
          <w:p w14:paraId="7D58A837" w14:textId="77777777" w:rsidR="00924154" w:rsidRDefault="00924154" w:rsidP="00C86FA3">
            <w:pPr>
              <w:rPr>
                <w:rFonts w:eastAsia="Arial" w:cs="Arial"/>
                <w:b w:val="0"/>
                <w:bCs w:val="0"/>
                <w:sz w:val="20"/>
                <w:szCs w:val="20"/>
                <w:lang w:val="es-ES"/>
              </w:rPr>
            </w:pPr>
          </w:p>
          <w:p w14:paraId="4E391B1E" w14:textId="77777777" w:rsidR="00924154" w:rsidRDefault="00924154" w:rsidP="00C86FA3">
            <w:pPr>
              <w:rPr>
                <w:rFonts w:eastAsia="Arial" w:cs="Arial"/>
                <w:b w:val="0"/>
                <w:bCs w:val="0"/>
                <w:sz w:val="20"/>
                <w:szCs w:val="20"/>
                <w:lang w:val="es-ES"/>
              </w:rPr>
            </w:pPr>
          </w:p>
          <w:p w14:paraId="6E4BEA01" w14:textId="4D3A3CBE" w:rsidR="00C86FA3" w:rsidRPr="00924154" w:rsidRDefault="00C86FA3" w:rsidP="00C86FA3">
            <w:pPr>
              <w:rPr>
                <w:rFonts w:eastAsia="Arial" w:cs="Arial"/>
                <w:sz w:val="20"/>
                <w:szCs w:val="20"/>
                <w:lang w:val="es-ES"/>
              </w:rPr>
            </w:pPr>
            <w:r w:rsidRPr="00924154">
              <w:rPr>
                <w:rFonts w:eastAsia="Arial" w:cs="Arial"/>
                <w:sz w:val="20"/>
                <w:szCs w:val="20"/>
                <w:lang w:val="es-ES"/>
              </w:rPr>
              <w:t>20</w:t>
            </w:r>
            <w:r w:rsidR="00A63404" w:rsidRPr="00924154">
              <w:rPr>
                <w:rFonts w:eastAsia="Arial" w:cs="Arial"/>
                <w:sz w:val="20"/>
                <w:szCs w:val="20"/>
                <w:lang w:val="es-ES"/>
              </w:rPr>
              <w:t>18</w:t>
            </w:r>
          </w:p>
        </w:tc>
        <w:tc>
          <w:tcPr>
            <w:tcW w:w="2268" w:type="dxa"/>
          </w:tcPr>
          <w:p w14:paraId="715D1BAD" w14:textId="731CB7D2" w:rsidR="00C86FA3" w:rsidRPr="00427B18" w:rsidRDefault="00427B18" w:rsidP="006B3FF0">
            <w:pPr>
              <w:cnfStyle w:val="000000100000" w:firstRow="0" w:lastRow="0" w:firstColumn="0" w:lastColumn="0" w:oddVBand="0" w:evenVBand="0" w:oddHBand="1" w:evenHBand="0" w:firstRowFirstColumn="0" w:firstRowLastColumn="0" w:lastRowFirstColumn="0" w:lastRowLastColumn="0"/>
              <w:rPr>
                <w:rFonts w:eastAsia="Arial" w:cs="Arial"/>
                <w:szCs w:val="22"/>
                <w:lang w:val="es-ES"/>
              </w:rPr>
            </w:pPr>
            <w:r w:rsidRPr="00427B18">
              <w:rPr>
                <w:rFonts w:eastAsia="Arial" w:cs="Arial"/>
                <w:szCs w:val="22"/>
                <w:lang w:val="es-ES"/>
              </w:rPr>
              <w:t>A.CE.2018.3 del 16 de agosto de 2018</w:t>
            </w:r>
          </w:p>
        </w:tc>
        <w:tc>
          <w:tcPr>
            <w:tcW w:w="3119" w:type="dxa"/>
          </w:tcPr>
          <w:p w14:paraId="1BFBAAAB" w14:textId="7775C4D6" w:rsidR="00C86FA3" w:rsidRPr="00C7226B" w:rsidRDefault="00C7226B" w:rsidP="006B3FF0">
            <w:pPr>
              <w:cnfStyle w:val="000000100000" w:firstRow="0" w:lastRow="0" w:firstColumn="0" w:lastColumn="0" w:oddVBand="0" w:evenVBand="0" w:oddHBand="1" w:evenHBand="0" w:firstRowFirstColumn="0" w:firstRowLastColumn="0" w:lastRowFirstColumn="0" w:lastRowLastColumn="0"/>
              <w:rPr>
                <w:rFonts w:eastAsia="Arial" w:cs="Arial"/>
                <w:szCs w:val="22"/>
                <w:lang w:val="es-ES"/>
              </w:rPr>
            </w:pPr>
            <w:r w:rsidRPr="00C7226B">
              <w:rPr>
                <w:rFonts w:eastAsia="Arial" w:cs="Arial"/>
                <w:szCs w:val="22"/>
                <w:lang w:val="es-ES"/>
              </w:rPr>
              <w:t>Analizar las propuestas de la Contraloría del Estado en materia de OIC y mecanismos de prevención, control e instrumentos de rendición de cuentas.</w:t>
            </w:r>
          </w:p>
        </w:tc>
        <w:tc>
          <w:tcPr>
            <w:tcW w:w="2737" w:type="dxa"/>
          </w:tcPr>
          <w:p w14:paraId="15F7B75B" w14:textId="77777777" w:rsidR="001B08B4" w:rsidRPr="001B08B4" w:rsidRDefault="001B08B4" w:rsidP="002120A0">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1B08B4">
              <w:rPr>
                <w:rFonts w:eastAsia="Arial" w:cs="Arial"/>
                <w:szCs w:val="22"/>
              </w:rPr>
              <w:t>Concluido:</w:t>
            </w:r>
          </w:p>
          <w:p w14:paraId="20CF2E7A" w14:textId="5B41D92D" w:rsidR="00C86FA3" w:rsidRPr="00F02CB2" w:rsidRDefault="001B08B4" w:rsidP="00F02CB2">
            <w:pPr>
              <w:pStyle w:val="Prrafodelista"/>
              <w:numPr>
                <w:ilvl w:val="0"/>
                <w:numId w:val="13"/>
              </w:numPr>
              <w:ind w:left="33" w:hanging="141"/>
              <w:jc w:val="both"/>
              <w:cnfStyle w:val="000000100000" w:firstRow="0" w:lastRow="0" w:firstColumn="0" w:lastColumn="0" w:oddVBand="0" w:evenVBand="0" w:oddHBand="1" w:evenHBand="0" w:firstRowFirstColumn="0" w:firstRowLastColumn="0" w:lastRowFirstColumn="0" w:lastRowLastColumn="0"/>
              <w:rPr>
                <w:rFonts w:eastAsia="Arial" w:cs="Arial"/>
                <w:szCs w:val="22"/>
              </w:rPr>
            </w:pPr>
            <w:r w:rsidRPr="00F02CB2">
              <w:rPr>
                <w:rFonts w:eastAsia="Arial" w:cs="Arial"/>
                <w:color w:val="000000"/>
                <w:szCs w:val="22"/>
              </w:rPr>
              <w:t>Se incluye en las actividades a desarrollar por el Comité Coordinador y la Comisión Ejecutiva para el 2020, aprobadas en los Programas de Trabajo.</w:t>
            </w:r>
          </w:p>
        </w:tc>
      </w:tr>
      <w:tr w:rsidR="00A63404" w14:paraId="64FEBE78" w14:textId="77777777" w:rsidTr="00771A6F">
        <w:tc>
          <w:tcPr>
            <w:cnfStyle w:val="001000000000" w:firstRow="0" w:lastRow="0" w:firstColumn="1" w:lastColumn="0" w:oddVBand="0" w:evenVBand="0" w:oddHBand="0" w:evenHBand="0" w:firstRowFirstColumn="0" w:firstRowLastColumn="0" w:lastRowFirstColumn="0" w:lastRowLastColumn="0"/>
            <w:tcW w:w="704" w:type="dxa"/>
          </w:tcPr>
          <w:p w14:paraId="3A9942DC" w14:textId="77777777" w:rsidR="00924154" w:rsidRDefault="00924154" w:rsidP="00A63404">
            <w:pPr>
              <w:jc w:val="center"/>
              <w:rPr>
                <w:rFonts w:eastAsia="Arial" w:cs="Arial"/>
                <w:b w:val="0"/>
                <w:bCs w:val="0"/>
                <w:sz w:val="20"/>
                <w:szCs w:val="20"/>
                <w:lang w:val="es-ES"/>
              </w:rPr>
            </w:pPr>
          </w:p>
          <w:p w14:paraId="2F1A3B8C" w14:textId="77777777" w:rsidR="00924154" w:rsidRDefault="00924154" w:rsidP="00A63404">
            <w:pPr>
              <w:jc w:val="center"/>
              <w:rPr>
                <w:rFonts w:eastAsia="Arial" w:cs="Arial"/>
                <w:b w:val="0"/>
                <w:bCs w:val="0"/>
                <w:sz w:val="20"/>
                <w:szCs w:val="20"/>
                <w:lang w:val="es-ES"/>
              </w:rPr>
            </w:pPr>
          </w:p>
          <w:p w14:paraId="568A644E" w14:textId="77777777" w:rsidR="00924154" w:rsidRDefault="00924154" w:rsidP="00A63404">
            <w:pPr>
              <w:jc w:val="center"/>
              <w:rPr>
                <w:rFonts w:eastAsia="Arial" w:cs="Arial"/>
                <w:b w:val="0"/>
                <w:bCs w:val="0"/>
                <w:sz w:val="20"/>
                <w:szCs w:val="20"/>
                <w:lang w:val="es-ES"/>
              </w:rPr>
            </w:pPr>
          </w:p>
          <w:p w14:paraId="5618066D" w14:textId="77777777" w:rsidR="00924154" w:rsidRDefault="00924154" w:rsidP="00A63404">
            <w:pPr>
              <w:jc w:val="center"/>
              <w:rPr>
                <w:rFonts w:eastAsia="Arial" w:cs="Arial"/>
                <w:b w:val="0"/>
                <w:bCs w:val="0"/>
                <w:sz w:val="20"/>
                <w:szCs w:val="20"/>
                <w:lang w:val="es-ES"/>
              </w:rPr>
            </w:pPr>
          </w:p>
          <w:p w14:paraId="1B9D051A" w14:textId="77777777" w:rsidR="00924154" w:rsidRDefault="00924154" w:rsidP="00A63404">
            <w:pPr>
              <w:jc w:val="center"/>
              <w:rPr>
                <w:rFonts w:eastAsia="Arial" w:cs="Arial"/>
                <w:b w:val="0"/>
                <w:bCs w:val="0"/>
                <w:sz w:val="20"/>
                <w:szCs w:val="20"/>
                <w:lang w:val="es-ES"/>
              </w:rPr>
            </w:pPr>
          </w:p>
          <w:p w14:paraId="3BE6DE3C" w14:textId="77777777" w:rsidR="00924154" w:rsidRDefault="00924154" w:rsidP="00A63404">
            <w:pPr>
              <w:jc w:val="center"/>
              <w:rPr>
                <w:rFonts w:eastAsia="Arial" w:cs="Arial"/>
                <w:b w:val="0"/>
                <w:bCs w:val="0"/>
                <w:sz w:val="20"/>
                <w:szCs w:val="20"/>
                <w:lang w:val="es-ES"/>
              </w:rPr>
            </w:pPr>
          </w:p>
          <w:p w14:paraId="4D0E9D8A" w14:textId="77777777" w:rsidR="00924154" w:rsidRDefault="00924154" w:rsidP="00A63404">
            <w:pPr>
              <w:jc w:val="center"/>
              <w:rPr>
                <w:rFonts w:eastAsia="Arial" w:cs="Arial"/>
                <w:b w:val="0"/>
                <w:bCs w:val="0"/>
                <w:sz w:val="20"/>
                <w:szCs w:val="20"/>
                <w:lang w:val="es-ES"/>
              </w:rPr>
            </w:pPr>
          </w:p>
          <w:p w14:paraId="60111801" w14:textId="77777777" w:rsidR="00924154" w:rsidRDefault="00924154" w:rsidP="00A63404">
            <w:pPr>
              <w:jc w:val="center"/>
              <w:rPr>
                <w:rFonts w:eastAsia="Arial" w:cs="Arial"/>
                <w:b w:val="0"/>
                <w:bCs w:val="0"/>
                <w:sz w:val="20"/>
                <w:szCs w:val="20"/>
                <w:lang w:val="es-ES"/>
              </w:rPr>
            </w:pPr>
          </w:p>
          <w:p w14:paraId="529AE16C" w14:textId="77777777" w:rsidR="00924154" w:rsidRDefault="00924154" w:rsidP="00A63404">
            <w:pPr>
              <w:jc w:val="center"/>
              <w:rPr>
                <w:rFonts w:eastAsia="Arial" w:cs="Arial"/>
                <w:b w:val="0"/>
                <w:bCs w:val="0"/>
                <w:sz w:val="20"/>
                <w:szCs w:val="20"/>
                <w:lang w:val="es-ES"/>
              </w:rPr>
            </w:pPr>
          </w:p>
          <w:p w14:paraId="572DD2A0" w14:textId="77777777" w:rsidR="00924154" w:rsidRDefault="00924154" w:rsidP="00A63404">
            <w:pPr>
              <w:jc w:val="center"/>
              <w:rPr>
                <w:rFonts w:eastAsia="Arial" w:cs="Arial"/>
                <w:b w:val="0"/>
                <w:bCs w:val="0"/>
                <w:sz w:val="20"/>
                <w:szCs w:val="20"/>
                <w:lang w:val="es-ES"/>
              </w:rPr>
            </w:pPr>
          </w:p>
          <w:p w14:paraId="642D5B4C" w14:textId="77777777" w:rsidR="00924154" w:rsidRDefault="00924154" w:rsidP="00A63404">
            <w:pPr>
              <w:jc w:val="center"/>
              <w:rPr>
                <w:rFonts w:eastAsia="Arial" w:cs="Arial"/>
                <w:b w:val="0"/>
                <w:bCs w:val="0"/>
                <w:sz w:val="20"/>
                <w:szCs w:val="20"/>
                <w:lang w:val="es-ES"/>
              </w:rPr>
            </w:pPr>
          </w:p>
          <w:p w14:paraId="17214E4B" w14:textId="77777777" w:rsidR="00924154" w:rsidRDefault="00924154" w:rsidP="00A63404">
            <w:pPr>
              <w:jc w:val="center"/>
              <w:rPr>
                <w:rFonts w:eastAsia="Arial" w:cs="Arial"/>
                <w:b w:val="0"/>
                <w:bCs w:val="0"/>
                <w:sz w:val="20"/>
                <w:szCs w:val="20"/>
                <w:lang w:val="es-ES"/>
              </w:rPr>
            </w:pPr>
          </w:p>
          <w:p w14:paraId="74AF5C6D" w14:textId="77777777" w:rsidR="00924154" w:rsidRDefault="00924154" w:rsidP="00A63404">
            <w:pPr>
              <w:jc w:val="center"/>
              <w:rPr>
                <w:rFonts w:eastAsia="Arial" w:cs="Arial"/>
                <w:b w:val="0"/>
                <w:bCs w:val="0"/>
                <w:sz w:val="20"/>
                <w:szCs w:val="20"/>
                <w:lang w:val="es-ES"/>
              </w:rPr>
            </w:pPr>
          </w:p>
          <w:p w14:paraId="18D6CAB5" w14:textId="73C55734" w:rsidR="00A63404" w:rsidRPr="00924154" w:rsidRDefault="00A63404" w:rsidP="00A63404">
            <w:pPr>
              <w:jc w:val="center"/>
              <w:rPr>
                <w:rFonts w:eastAsia="Arial" w:cs="Arial"/>
                <w:sz w:val="20"/>
                <w:szCs w:val="20"/>
                <w:lang w:val="es-ES"/>
              </w:rPr>
            </w:pPr>
            <w:r w:rsidRPr="00924154">
              <w:rPr>
                <w:rFonts w:eastAsia="Arial" w:cs="Arial"/>
                <w:sz w:val="20"/>
                <w:szCs w:val="20"/>
                <w:lang w:val="es-ES"/>
              </w:rPr>
              <w:t>2019</w:t>
            </w:r>
          </w:p>
        </w:tc>
        <w:tc>
          <w:tcPr>
            <w:tcW w:w="2268" w:type="dxa"/>
          </w:tcPr>
          <w:p w14:paraId="032B32E9" w14:textId="264FB977" w:rsidR="00A63404" w:rsidRPr="00C7226B" w:rsidRDefault="00A63404" w:rsidP="00A63404">
            <w:pPr>
              <w:cnfStyle w:val="000000000000" w:firstRow="0" w:lastRow="0" w:firstColumn="0" w:lastColumn="0" w:oddVBand="0" w:evenVBand="0" w:oddHBand="0" w:evenHBand="0" w:firstRowFirstColumn="0" w:firstRowLastColumn="0" w:lastRowFirstColumn="0" w:lastRowLastColumn="0"/>
              <w:rPr>
                <w:rFonts w:eastAsia="Arial" w:cs="Arial"/>
                <w:szCs w:val="22"/>
                <w:lang w:val="es-ES"/>
              </w:rPr>
            </w:pPr>
            <w:r w:rsidRPr="002F3212">
              <w:rPr>
                <w:rFonts w:eastAsia="Arial" w:cs="Arial"/>
                <w:szCs w:val="22"/>
                <w:lang w:val="es-ES"/>
              </w:rPr>
              <w:t>A.CE.2019.10 del 3 de julio de 2019</w:t>
            </w:r>
          </w:p>
        </w:tc>
        <w:tc>
          <w:tcPr>
            <w:tcW w:w="3119" w:type="dxa"/>
          </w:tcPr>
          <w:p w14:paraId="2B4CCE1E" w14:textId="3659791E" w:rsidR="00A63404" w:rsidRPr="00C7226B" w:rsidRDefault="00A63404" w:rsidP="00A63404">
            <w:pPr>
              <w:cnfStyle w:val="000000000000" w:firstRow="0" w:lastRow="0" w:firstColumn="0" w:lastColumn="0" w:oddVBand="0" w:evenVBand="0" w:oddHBand="0" w:evenHBand="0" w:firstRowFirstColumn="0" w:firstRowLastColumn="0" w:lastRowFirstColumn="0" w:lastRowLastColumn="0"/>
              <w:rPr>
                <w:rFonts w:eastAsia="Arial" w:cs="Arial"/>
                <w:szCs w:val="22"/>
                <w:lang w:val="es-ES"/>
              </w:rPr>
            </w:pPr>
            <w:r w:rsidRPr="00117115">
              <w:rPr>
                <w:rFonts w:eastAsia="Arial" w:cs="Arial"/>
                <w:szCs w:val="22"/>
                <w:lang w:val="es-ES"/>
              </w:rPr>
              <w:t>Aprobar en lo general la metodología de trabajo para elaborar el Diagnóstico de la situación de los Órganos Internos de Control de los entes públicos del Estado de Jalisco, debiendo ser revisado por especialistas que proponga la Comisión Ejecutiva.</w:t>
            </w:r>
          </w:p>
        </w:tc>
        <w:tc>
          <w:tcPr>
            <w:tcW w:w="2737" w:type="dxa"/>
          </w:tcPr>
          <w:p w14:paraId="38911CB3" w14:textId="77777777" w:rsidR="00A63404" w:rsidRPr="004655F1" w:rsidRDefault="00A63404" w:rsidP="002120A0">
            <w:pPr>
              <w:cnfStyle w:val="000000000000" w:firstRow="0" w:lastRow="0" w:firstColumn="0" w:lastColumn="0" w:oddVBand="0" w:evenVBand="0" w:oddHBand="0" w:evenHBand="0" w:firstRowFirstColumn="0" w:firstRowLastColumn="0" w:lastRowFirstColumn="0" w:lastRowLastColumn="0"/>
              <w:rPr>
                <w:rFonts w:eastAsia="Arial" w:cs="Arial"/>
                <w:szCs w:val="22"/>
                <w:lang w:val="es-ES"/>
              </w:rPr>
            </w:pPr>
            <w:r w:rsidRPr="004655F1">
              <w:rPr>
                <w:rFonts w:eastAsia="Arial" w:cs="Arial"/>
                <w:szCs w:val="22"/>
                <w:lang w:val="es-ES"/>
              </w:rPr>
              <w:t>Concluido:</w:t>
            </w:r>
          </w:p>
          <w:p w14:paraId="011016F7" w14:textId="77777777" w:rsidR="00F02CB2" w:rsidRPr="004655F1" w:rsidRDefault="00A63404" w:rsidP="00A63404">
            <w:pPr>
              <w:numPr>
                <w:ilvl w:val="0"/>
                <w:numId w:val="11"/>
              </w:numPr>
              <w:pBdr>
                <w:top w:val="nil"/>
                <w:left w:val="nil"/>
                <w:bottom w:val="nil"/>
                <w:right w:val="nil"/>
                <w:between w:val="nil"/>
              </w:pBdr>
              <w:spacing w:after="160" w:line="259" w:lineRule="auto"/>
              <w:ind w:left="179" w:hanging="179"/>
              <w:cnfStyle w:val="000000000000" w:firstRow="0" w:lastRow="0" w:firstColumn="0" w:lastColumn="0" w:oddVBand="0" w:evenVBand="0" w:oddHBand="0" w:evenHBand="0" w:firstRowFirstColumn="0" w:firstRowLastColumn="0" w:lastRowFirstColumn="0" w:lastRowLastColumn="0"/>
              <w:rPr>
                <w:rFonts w:eastAsia="Arial" w:cs="Arial"/>
                <w:szCs w:val="22"/>
                <w:lang w:val="es-ES"/>
              </w:rPr>
            </w:pPr>
            <w:r w:rsidRPr="004655F1">
              <w:rPr>
                <w:rFonts w:eastAsia="Arial" w:cs="Arial"/>
                <w:szCs w:val="22"/>
                <w:lang w:val="es-ES"/>
              </w:rPr>
              <w:t>Se incluye en las actividades a desarrollar por el Comité Coordinador y la Comisión Ejecutiva para el 2020, aprobadas en los Programas de Trabajo.</w:t>
            </w:r>
          </w:p>
          <w:p w14:paraId="3C8C1497" w14:textId="53D3D7F1" w:rsidR="00A63404" w:rsidRPr="004655F1" w:rsidRDefault="00A63404" w:rsidP="00A63404">
            <w:pPr>
              <w:numPr>
                <w:ilvl w:val="0"/>
                <w:numId w:val="11"/>
              </w:numPr>
              <w:pBdr>
                <w:top w:val="nil"/>
                <w:left w:val="nil"/>
                <w:bottom w:val="nil"/>
                <w:right w:val="nil"/>
                <w:between w:val="nil"/>
              </w:pBdr>
              <w:spacing w:after="160" w:line="259" w:lineRule="auto"/>
              <w:ind w:left="179" w:hanging="179"/>
              <w:cnfStyle w:val="000000000000" w:firstRow="0" w:lastRow="0" w:firstColumn="0" w:lastColumn="0" w:oddVBand="0" w:evenVBand="0" w:oddHBand="0" w:evenHBand="0" w:firstRowFirstColumn="0" w:firstRowLastColumn="0" w:lastRowFirstColumn="0" w:lastRowLastColumn="0"/>
              <w:rPr>
                <w:rFonts w:eastAsia="Arial" w:cs="Arial"/>
                <w:szCs w:val="22"/>
                <w:lang w:val="es-ES"/>
              </w:rPr>
            </w:pPr>
            <w:r w:rsidRPr="004655F1">
              <w:rPr>
                <w:rFonts w:eastAsia="Arial" w:cs="Arial"/>
                <w:szCs w:val="22"/>
                <w:lang w:val="es-ES"/>
              </w:rPr>
              <w:t xml:space="preserve">Durante el primer cuatrimestre del año se levantará el censo de los Órganos Internos de Control en los 423 entes públicos de Jalisco identificados tras analizar bases de datos de la Secretaría de la Hacienda Pública y el Consejo Nacional de Armonización Contable (CONAC). El Instituto de Información Estadística y Geográfica del Estado de Jalisco (IIEG) ha </w:t>
            </w:r>
            <w:r w:rsidRPr="004655F1">
              <w:rPr>
                <w:rFonts w:eastAsia="Arial" w:cs="Arial"/>
                <w:szCs w:val="22"/>
                <w:lang w:val="es-ES"/>
              </w:rPr>
              <w:lastRenderedPageBreak/>
              <w:t>destinado $200,000.00 de su presupuesto al proyecto conjunto con la SESAJ; se incluyen al cuestionario cinco preguntas diseñadas por el IIEG −en módulo adicional−, para integrar un índice estatal con desagregación municipal.</w:t>
            </w:r>
          </w:p>
        </w:tc>
      </w:tr>
      <w:tr w:rsidR="00924154" w14:paraId="67066F13" w14:textId="77777777" w:rsidTr="00771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val="restart"/>
          </w:tcPr>
          <w:p w14:paraId="226CD3FD" w14:textId="77777777" w:rsidR="00924154" w:rsidRDefault="00924154" w:rsidP="00A63404">
            <w:pPr>
              <w:jc w:val="center"/>
              <w:rPr>
                <w:rFonts w:eastAsia="Arial" w:cs="Arial"/>
                <w:b w:val="0"/>
                <w:bCs w:val="0"/>
                <w:sz w:val="20"/>
                <w:szCs w:val="20"/>
                <w:lang w:val="es-ES"/>
              </w:rPr>
            </w:pPr>
          </w:p>
          <w:p w14:paraId="505809D8" w14:textId="77777777" w:rsidR="00924154" w:rsidRDefault="00924154" w:rsidP="00A63404">
            <w:pPr>
              <w:jc w:val="center"/>
              <w:rPr>
                <w:rFonts w:eastAsia="Arial" w:cs="Arial"/>
                <w:b w:val="0"/>
                <w:bCs w:val="0"/>
                <w:sz w:val="20"/>
                <w:szCs w:val="20"/>
                <w:lang w:val="es-ES"/>
              </w:rPr>
            </w:pPr>
          </w:p>
          <w:p w14:paraId="7F3A8798" w14:textId="77777777" w:rsidR="00924154" w:rsidRDefault="00924154" w:rsidP="00A63404">
            <w:pPr>
              <w:jc w:val="center"/>
              <w:rPr>
                <w:rFonts w:eastAsia="Arial" w:cs="Arial"/>
                <w:b w:val="0"/>
                <w:bCs w:val="0"/>
                <w:sz w:val="20"/>
                <w:szCs w:val="20"/>
                <w:lang w:val="es-ES"/>
              </w:rPr>
            </w:pPr>
          </w:p>
          <w:p w14:paraId="1BF197A4" w14:textId="77777777" w:rsidR="00924154" w:rsidRDefault="00924154" w:rsidP="00A63404">
            <w:pPr>
              <w:jc w:val="center"/>
              <w:rPr>
                <w:rFonts w:eastAsia="Arial" w:cs="Arial"/>
                <w:b w:val="0"/>
                <w:bCs w:val="0"/>
                <w:sz w:val="20"/>
                <w:szCs w:val="20"/>
                <w:lang w:val="es-ES"/>
              </w:rPr>
            </w:pPr>
          </w:p>
          <w:p w14:paraId="763465EB" w14:textId="77777777" w:rsidR="00924154" w:rsidRDefault="00924154" w:rsidP="00A63404">
            <w:pPr>
              <w:jc w:val="center"/>
              <w:rPr>
                <w:rFonts w:eastAsia="Arial" w:cs="Arial"/>
                <w:b w:val="0"/>
                <w:bCs w:val="0"/>
                <w:sz w:val="20"/>
                <w:szCs w:val="20"/>
                <w:lang w:val="es-ES"/>
              </w:rPr>
            </w:pPr>
          </w:p>
          <w:p w14:paraId="7C43040C" w14:textId="77777777" w:rsidR="00924154" w:rsidRDefault="00924154" w:rsidP="00A63404">
            <w:pPr>
              <w:jc w:val="center"/>
              <w:rPr>
                <w:rFonts w:eastAsia="Arial" w:cs="Arial"/>
                <w:b w:val="0"/>
                <w:bCs w:val="0"/>
                <w:sz w:val="20"/>
                <w:szCs w:val="20"/>
                <w:lang w:val="es-ES"/>
              </w:rPr>
            </w:pPr>
          </w:p>
          <w:p w14:paraId="254069F6" w14:textId="77777777" w:rsidR="00924154" w:rsidRDefault="00924154" w:rsidP="00A63404">
            <w:pPr>
              <w:jc w:val="center"/>
              <w:rPr>
                <w:rFonts w:eastAsia="Arial" w:cs="Arial"/>
                <w:b w:val="0"/>
                <w:bCs w:val="0"/>
                <w:sz w:val="20"/>
                <w:szCs w:val="20"/>
                <w:lang w:val="es-ES"/>
              </w:rPr>
            </w:pPr>
          </w:p>
          <w:p w14:paraId="7C440A06" w14:textId="77777777" w:rsidR="00924154" w:rsidRDefault="00924154" w:rsidP="00A63404">
            <w:pPr>
              <w:jc w:val="center"/>
              <w:rPr>
                <w:rFonts w:eastAsia="Arial" w:cs="Arial"/>
                <w:b w:val="0"/>
                <w:bCs w:val="0"/>
                <w:sz w:val="20"/>
                <w:szCs w:val="20"/>
                <w:lang w:val="es-ES"/>
              </w:rPr>
            </w:pPr>
          </w:p>
          <w:p w14:paraId="428FC3F9" w14:textId="77777777" w:rsidR="00924154" w:rsidRDefault="00924154" w:rsidP="00A63404">
            <w:pPr>
              <w:jc w:val="center"/>
              <w:rPr>
                <w:rFonts w:eastAsia="Arial" w:cs="Arial"/>
                <w:b w:val="0"/>
                <w:bCs w:val="0"/>
                <w:sz w:val="20"/>
                <w:szCs w:val="20"/>
                <w:lang w:val="es-ES"/>
              </w:rPr>
            </w:pPr>
          </w:p>
          <w:p w14:paraId="283B9EF3" w14:textId="77777777" w:rsidR="00924154" w:rsidRDefault="00924154" w:rsidP="00A63404">
            <w:pPr>
              <w:jc w:val="center"/>
              <w:rPr>
                <w:rFonts w:eastAsia="Arial" w:cs="Arial"/>
                <w:b w:val="0"/>
                <w:bCs w:val="0"/>
                <w:sz w:val="20"/>
                <w:szCs w:val="20"/>
                <w:lang w:val="es-ES"/>
              </w:rPr>
            </w:pPr>
          </w:p>
          <w:p w14:paraId="47E8D98E" w14:textId="77777777" w:rsidR="00924154" w:rsidRDefault="00924154" w:rsidP="00A63404">
            <w:pPr>
              <w:jc w:val="center"/>
              <w:rPr>
                <w:rFonts w:eastAsia="Arial" w:cs="Arial"/>
                <w:b w:val="0"/>
                <w:bCs w:val="0"/>
                <w:sz w:val="20"/>
                <w:szCs w:val="20"/>
                <w:lang w:val="es-ES"/>
              </w:rPr>
            </w:pPr>
          </w:p>
          <w:p w14:paraId="4B3A133D" w14:textId="77777777" w:rsidR="00924154" w:rsidRDefault="00924154" w:rsidP="00A63404">
            <w:pPr>
              <w:jc w:val="center"/>
              <w:rPr>
                <w:rFonts w:eastAsia="Arial" w:cs="Arial"/>
                <w:b w:val="0"/>
                <w:bCs w:val="0"/>
                <w:sz w:val="20"/>
                <w:szCs w:val="20"/>
                <w:lang w:val="es-ES"/>
              </w:rPr>
            </w:pPr>
          </w:p>
          <w:p w14:paraId="51025DD4" w14:textId="77777777" w:rsidR="00924154" w:rsidRDefault="00924154" w:rsidP="00A63404">
            <w:pPr>
              <w:jc w:val="center"/>
              <w:rPr>
                <w:rFonts w:eastAsia="Arial" w:cs="Arial"/>
                <w:b w:val="0"/>
                <w:bCs w:val="0"/>
                <w:sz w:val="20"/>
                <w:szCs w:val="20"/>
                <w:lang w:val="es-ES"/>
              </w:rPr>
            </w:pPr>
          </w:p>
          <w:p w14:paraId="597FEA05" w14:textId="77777777" w:rsidR="00924154" w:rsidRDefault="00924154" w:rsidP="00A63404">
            <w:pPr>
              <w:jc w:val="center"/>
              <w:rPr>
                <w:rFonts w:eastAsia="Arial" w:cs="Arial"/>
                <w:b w:val="0"/>
                <w:bCs w:val="0"/>
                <w:sz w:val="20"/>
                <w:szCs w:val="20"/>
                <w:lang w:val="es-ES"/>
              </w:rPr>
            </w:pPr>
          </w:p>
          <w:p w14:paraId="1BDDE4BA" w14:textId="62D67CD5" w:rsidR="00924154" w:rsidRPr="00C7226B" w:rsidRDefault="00924154" w:rsidP="00A63404">
            <w:pPr>
              <w:jc w:val="center"/>
              <w:rPr>
                <w:rFonts w:eastAsia="Arial" w:cs="Arial"/>
                <w:b w:val="0"/>
                <w:bCs w:val="0"/>
                <w:sz w:val="20"/>
                <w:szCs w:val="20"/>
                <w:lang w:val="es-ES"/>
              </w:rPr>
            </w:pPr>
            <w:r w:rsidRPr="00924154">
              <w:rPr>
                <w:rFonts w:eastAsia="Arial" w:cs="Arial"/>
                <w:sz w:val="20"/>
                <w:szCs w:val="20"/>
                <w:lang w:val="es-ES"/>
              </w:rPr>
              <w:t>2019</w:t>
            </w:r>
          </w:p>
        </w:tc>
        <w:tc>
          <w:tcPr>
            <w:tcW w:w="2268" w:type="dxa"/>
          </w:tcPr>
          <w:p w14:paraId="2A9C72F6" w14:textId="5DDFAF56" w:rsidR="00924154" w:rsidRPr="00C7226B" w:rsidRDefault="00924154" w:rsidP="001D706E">
            <w:pPr>
              <w:cnfStyle w:val="000000100000" w:firstRow="0" w:lastRow="0" w:firstColumn="0" w:lastColumn="0" w:oddVBand="0" w:evenVBand="0" w:oddHBand="1" w:evenHBand="0" w:firstRowFirstColumn="0" w:firstRowLastColumn="0" w:lastRowFirstColumn="0" w:lastRowLastColumn="0"/>
              <w:rPr>
                <w:rFonts w:eastAsia="Arial" w:cs="Arial"/>
                <w:szCs w:val="22"/>
                <w:lang w:val="es-ES"/>
              </w:rPr>
            </w:pPr>
            <w:r w:rsidRPr="001D706E">
              <w:rPr>
                <w:rFonts w:eastAsia="Arial" w:cs="Arial"/>
                <w:szCs w:val="22"/>
                <w:lang w:val="es-ES"/>
              </w:rPr>
              <w:t>A.CE.2019.11 del 3 de julio de 2019</w:t>
            </w:r>
          </w:p>
        </w:tc>
        <w:tc>
          <w:tcPr>
            <w:tcW w:w="3119" w:type="dxa"/>
          </w:tcPr>
          <w:p w14:paraId="4EF31478" w14:textId="57BDEDE5" w:rsidR="00924154" w:rsidRPr="00C7226B" w:rsidRDefault="00924154" w:rsidP="00A63404">
            <w:pPr>
              <w:cnfStyle w:val="000000100000" w:firstRow="0" w:lastRow="0" w:firstColumn="0" w:lastColumn="0" w:oddVBand="0" w:evenVBand="0" w:oddHBand="1" w:evenHBand="0" w:firstRowFirstColumn="0" w:firstRowLastColumn="0" w:lastRowFirstColumn="0" w:lastRowLastColumn="0"/>
              <w:rPr>
                <w:rFonts w:eastAsia="Arial" w:cs="Arial"/>
                <w:szCs w:val="22"/>
                <w:lang w:val="es-ES"/>
              </w:rPr>
            </w:pPr>
            <w:r w:rsidRPr="00744608">
              <w:rPr>
                <w:rFonts w:eastAsia="Arial" w:cs="Arial"/>
                <w:szCs w:val="22"/>
                <w:lang w:val="es-ES"/>
              </w:rPr>
              <w:t>Implementar dentro de esta Comisión la utilización de la firma electrónica como una prueba piloto para examinar la factibilidad de su uso y proponerlo al Comité Coordinador.</w:t>
            </w:r>
          </w:p>
        </w:tc>
        <w:tc>
          <w:tcPr>
            <w:tcW w:w="2737" w:type="dxa"/>
          </w:tcPr>
          <w:p w14:paraId="48ACD187" w14:textId="77777777" w:rsidR="00924154" w:rsidRPr="004655F1" w:rsidRDefault="00924154" w:rsidP="002120A0">
            <w:pPr>
              <w:cnfStyle w:val="000000100000" w:firstRow="0" w:lastRow="0" w:firstColumn="0" w:lastColumn="0" w:oddVBand="0" w:evenVBand="0" w:oddHBand="1" w:evenHBand="0" w:firstRowFirstColumn="0" w:firstRowLastColumn="0" w:lastRowFirstColumn="0" w:lastRowLastColumn="0"/>
              <w:rPr>
                <w:rFonts w:eastAsia="Arial" w:cs="Arial"/>
                <w:szCs w:val="22"/>
                <w:lang w:val="es-ES"/>
              </w:rPr>
            </w:pPr>
            <w:r w:rsidRPr="004655F1">
              <w:rPr>
                <w:rFonts w:eastAsia="Arial" w:cs="Arial"/>
                <w:szCs w:val="22"/>
                <w:lang w:val="es-ES"/>
              </w:rPr>
              <w:t xml:space="preserve">En proceso: </w:t>
            </w:r>
          </w:p>
          <w:p w14:paraId="5E6515E9" w14:textId="28EF01F5" w:rsidR="00924154" w:rsidRPr="00CE3DA9" w:rsidRDefault="00924154" w:rsidP="00CE3DA9">
            <w:pPr>
              <w:pStyle w:val="Prrafodelista"/>
              <w:numPr>
                <w:ilvl w:val="0"/>
                <w:numId w:val="13"/>
              </w:numPr>
              <w:ind w:left="175" w:hanging="175"/>
              <w:jc w:val="both"/>
              <w:cnfStyle w:val="000000100000" w:firstRow="0" w:lastRow="0" w:firstColumn="0" w:lastColumn="0" w:oddVBand="0" w:evenVBand="0" w:oddHBand="1" w:evenHBand="0" w:firstRowFirstColumn="0" w:firstRowLastColumn="0" w:lastRowFirstColumn="0" w:lastRowLastColumn="0"/>
              <w:rPr>
                <w:rFonts w:eastAsia="Arial" w:cs="Arial"/>
                <w:szCs w:val="22"/>
              </w:rPr>
            </w:pPr>
            <w:r w:rsidRPr="004655F1">
              <w:rPr>
                <w:rFonts w:eastAsia="Arial" w:cs="Arial"/>
                <w:szCs w:val="22"/>
              </w:rPr>
              <w:t>Se recibió la respuesta por parte de la SESNA, en la que nos sugiere que se resuelva con libertad por este Sistema Anticorrupción la posibilidad de adquirir alguna solución de e-firma, y la respectiva licencia de software que corresponda a nuestras particulares necesidades.</w:t>
            </w:r>
          </w:p>
        </w:tc>
      </w:tr>
      <w:tr w:rsidR="00924154" w14:paraId="087ED6B8" w14:textId="77777777" w:rsidTr="00771A6F">
        <w:tc>
          <w:tcPr>
            <w:cnfStyle w:val="001000000000" w:firstRow="0" w:lastRow="0" w:firstColumn="1" w:lastColumn="0" w:oddVBand="0" w:evenVBand="0" w:oddHBand="0" w:evenHBand="0" w:firstRowFirstColumn="0" w:firstRowLastColumn="0" w:lastRowFirstColumn="0" w:lastRowLastColumn="0"/>
            <w:tcW w:w="704" w:type="dxa"/>
            <w:vMerge/>
          </w:tcPr>
          <w:p w14:paraId="7CE00729" w14:textId="77777777" w:rsidR="00924154" w:rsidRPr="00C7226B" w:rsidRDefault="00924154" w:rsidP="00A63404">
            <w:pPr>
              <w:jc w:val="center"/>
              <w:rPr>
                <w:rFonts w:eastAsia="Arial" w:cs="Arial"/>
                <w:b w:val="0"/>
                <w:bCs w:val="0"/>
                <w:sz w:val="20"/>
                <w:szCs w:val="20"/>
                <w:lang w:val="es-ES"/>
              </w:rPr>
            </w:pPr>
          </w:p>
        </w:tc>
        <w:tc>
          <w:tcPr>
            <w:tcW w:w="2268" w:type="dxa"/>
          </w:tcPr>
          <w:p w14:paraId="397FB93D" w14:textId="20948920" w:rsidR="00924154" w:rsidRPr="00C7226B" w:rsidRDefault="00924154" w:rsidP="00A63404">
            <w:pPr>
              <w:cnfStyle w:val="000000000000" w:firstRow="0" w:lastRow="0" w:firstColumn="0" w:lastColumn="0" w:oddVBand="0" w:evenVBand="0" w:oddHBand="0" w:evenHBand="0" w:firstRowFirstColumn="0" w:firstRowLastColumn="0" w:lastRowFirstColumn="0" w:lastRowLastColumn="0"/>
              <w:rPr>
                <w:rFonts w:eastAsia="Arial" w:cs="Arial"/>
                <w:szCs w:val="22"/>
                <w:lang w:val="es-ES"/>
              </w:rPr>
            </w:pPr>
            <w:r w:rsidRPr="002C4BAC">
              <w:rPr>
                <w:rFonts w:eastAsia="Arial" w:cs="Arial"/>
                <w:szCs w:val="22"/>
                <w:lang w:val="es-ES"/>
              </w:rPr>
              <w:t>A.CE.2019.13 del 13 de agosto de 2019</w:t>
            </w:r>
          </w:p>
        </w:tc>
        <w:tc>
          <w:tcPr>
            <w:tcW w:w="3119" w:type="dxa"/>
          </w:tcPr>
          <w:p w14:paraId="73F2310C" w14:textId="26B0B884" w:rsidR="00924154" w:rsidRPr="00C7226B" w:rsidRDefault="00924154" w:rsidP="00A63404">
            <w:pPr>
              <w:cnfStyle w:val="000000000000" w:firstRow="0" w:lastRow="0" w:firstColumn="0" w:lastColumn="0" w:oddVBand="0" w:evenVBand="0" w:oddHBand="0" w:evenHBand="0" w:firstRowFirstColumn="0" w:firstRowLastColumn="0" w:lastRowFirstColumn="0" w:lastRowLastColumn="0"/>
              <w:rPr>
                <w:rFonts w:eastAsia="Arial" w:cs="Arial"/>
                <w:szCs w:val="22"/>
                <w:lang w:val="es-ES"/>
              </w:rPr>
            </w:pPr>
            <w:r w:rsidRPr="00EE1B49">
              <w:rPr>
                <w:rFonts w:eastAsia="Arial" w:cs="Arial"/>
                <w:szCs w:val="22"/>
                <w:lang w:val="es-ES"/>
              </w:rPr>
              <w:t>Elaborar un análisis sobre la pertinencia y factibilidad del desarrollo de un sistema electrónico de denuncia y queja, y presentar los resultados al Comité Coordinador.</w:t>
            </w:r>
          </w:p>
        </w:tc>
        <w:tc>
          <w:tcPr>
            <w:tcW w:w="2737" w:type="dxa"/>
          </w:tcPr>
          <w:p w14:paraId="6FF0DC60" w14:textId="77777777" w:rsidR="00924154" w:rsidRPr="00651B3A" w:rsidRDefault="00924154" w:rsidP="00F02CB2">
            <w:pPr>
              <w:cnfStyle w:val="000000000000" w:firstRow="0" w:lastRow="0" w:firstColumn="0" w:lastColumn="0" w:oddVBand="0" w:evenVBand="0" w:oddHBand="0" w:evenHBand="0" w:firstRowFirstColumn="0" w:firstRowLastColumn="0" w:lastRowFirstColumn="0" w:lastRowLastColumn="0"/>
              <w:rPr>
                <w:rFonts w:eastAsia="Arial" w:cs="Arial"/>
                <w:szCs w:val="22"/>
                <w:lang w:val="es-ES"/>
              </w:rPr>
            </w:pPr>
            <w:r w:rsidRPr="00651B3A">
              <w:rPr>
                <w:rFonts w:eastAsia="Arial" w:cs="Arial"/>
                <w:szCs w:val="22"/>
                <w:lang w:val="es-ES"/>
              </w:rPr>
              <w:t>Concluido:</w:t>
            </w:r>
          </w:p>
          <w:p w14:paraId="2D509C09" w14:textId="06434258" w:rsidR="00924154" w:rsidRPr="00F02CB2" w:rsidRDefault="00924154" w:rsidP="00CE3DA9">
            <w:pPr>
              <w:pStyle w:val="Prrafodelista"/>
              <w:numPr>
                <w:ilvl w:val="0"/>
                <w:numId w:val="12"/>
              </w:numPr>
              <w:ind w:left="175" w:hanging="141"/>
              <w:jc w:val="both"/>
              <w:cnfStyle w:val="000000000000" w:firstRow="0" w:lastRow="0" w:firstColumn="0" w:lastColumn="0" w:oddVBand="0" w:evenVBand="0" w:oddHBand="0" w:evenHBand="0" w:firstRowFirstColumn="0" w:firstRowLastColumn="0" w:lastRowFirstColumn="0" w:lastRowLastColumn="0"/>
              <w:rPr>
                <w:rFonts w:eastAsia="Arial" w:cs="Arial"/>
                <w:szCs w:val="22"/>
              </w:rPr>
            </w:pPr>
            <w:r w:rsidRPr="00651B3A">
              <w:rPr>
                <w:rFonts w:eastAsia="Arial" w:cs="Arial"/>
                <w:szCs w:val="22"/>
              </w:rPr>
              <w:t>Se incluye en las actividades a desarrollar por el Comité Coordinador y la Comisión Ejecutiva para el 2020, aprobadas en los Programas de Trabajo.</w:t>
            </w:r>
          </w:p>
        </w:tc>
      </w:tr>
      <w:tr w:rsidR="00924154" w14:paraId="7AF3CC67" w14:textId="77777777" w:rsidTr="00771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cPr>
          <w:p w14:paraId="05001555" w14:textId="77777777" w:rsidR="00924154" w:rsidRPr="00C7226B" w:rsidRDefault="00924154" w:rsidP="00A63404">
            <w:pPr>
              <w:jc w:val="center"/>
              <w:rPr>
                <w:rFonts w:eastAsia="Arial" w:cs="Arial"/>
                <w:b w:val="0"/>
                <w:bCs w:val="0"/>
                <w:sz w:val="20"/>
                <w:szCs w:val="20"/>
                <w:lang w:val="es-ES"/>
              </w:rPr>
            </w:pPr>
          </w:p>
        </w:tc>
        <w:tc>
          <w:tcPr>
            <w:tcW w:w="2268" w:type="dxa"/>
          </w:tcPr>
          <w:p w14:paraId="6F3F121A" w14:textId="5180E083" w:rsidR="00924154" w:rsidRPr="00C7226B" w:rsidRDefault="00924154" w:rsidP="00A63404">
            <w:pPr>
              <w:cnfStyle w:val="000000100000" w:firstRow="0" w:lastRow="0" w:firstColumn="0" w:lastColumn="0" w:oddVBand="0" w:evenVBand="0" w:oddHBand="1" w:evenHBand="0" w:firstRowFirstColumn="0" w:firstRowLastColumn="0" w:lastRowFirstColumn="0" w:lastRowLastColumn="0"/>
              <w:rPr>
                <w:rFonts w:eastAsia="Arial" w:cs="Arial"/>
                <w:szCs w:val="22"/>
                <w:lang w:val="es-ES"/>
              </w:rPr>
            </w:pPr>
            <w:r w:rsidRPr="00206007">
              <w:rPr>
                <w:rFonts w:eastAsia="Arial" w:cs="Arial"/>
                <w:szCs w:val="22"/>
                <w:lang w:val="es-ES"/>
              </w:rPr>
              <w:t>A.CE.2019.15 del 15 de octubre de 2019</w:t>
            </w:r>
          </w:p>
        </w:tc>
        <w:tc>
          <w:tcPr>
            <w:tcW w:w="3119" w:type="dxa"/>
          </w:tcPr>
          <w:p w14:paraId="0E4EC140" w14:textId="77777777" w:rsidR="00924154" w:rsidRPr="00235B37" w:rsidRDefault="00924154" w:rsidP="00235B37">
            <w:pPr>
              <w:cnfStyle w:val="000000100000" w:firstRow="0" w:lastRow="0" w:firstColumn="0" w:lastColumn="0" w:oddVBand="0" w:evenVBand="0" w:oddHBand="1" w:evenHBand="0" w:firstRowFirstColumn="0" w:firstRowLastColumn="0" w:lastRowFirstColumn="0" w:lastRowLastColumn="0"/>
              <w:rPr>
                <w:rFonts w:eastAsia="Arial" w:cs="Arial"/>
                <w:szCs w:val="22"/>
                <w:lang w:val="es-ES"/>
              </w:rPr>
            </w:pPr>
            <w:r w:rsidRPr="00235B37">
              <w:rPr>
                <w:rFonts w:eastAsia="Arial" w:cs="Arial"/>
                <w:szCs w:val="22"/>
                <w:lang w:val="es-ES"/>
              </w:rPr>
              <w:t xml:space="preserve">Se acuerda que la Comisión Ejecutiva, en conjunto con la Secretaría Ejecutiva, inicien el análisis correspondiente a la propuesta presentada por el Auditor Superior del Estado de Jalisco, al Comité Coordinador, con relación a cuatro áreas de riesgo identificadas: </w:t>
            </w:r>
          </w:p>
          <w:p w14:paraId="7E587177" w14:textId="77777777" w:rsidR="00924154" w:rsidRPr="00235B37" w:rsidRDefault="00924154" w:rsidP="00235B37">
            <w:pPr>
              <w:cnfStyle w:val="000000100000" w:firstRow="0" w:lastRow="0" w:firstColumn="0" w:lastColumn="0" w:oddVBand="0" w:evenVBand="0" w:oddHBand="1" w:evenHBand="0" w:firstRowFirstColumn="0" w:firstRowLastColumn="0" w:lastRowFirstColumn="0" w:lastRowLastColumn="0"/>
              <w:rPr>
                <w:rFonts w:eastAsia="Arial" w:cs="Arial"/>
                <w:szCs w:val="22"/>
                <w:lang w:val="es-ES"/>
              </w:rPr>
            </w:pPr>
            <w:r w:rsidRPr="00235B37">
              <w:rPr>
                <w:rFonts w:eastAsia="Arial" w:cs="Arial"/>
                <w:szCs w:val="22"/>
                <w:lang w:val="es-ES"/>
              </w:rPr>
              <w:t>a)</w:t>
            </w:r>
            <w:r w:rsidRPr="00235B37">
              <w:rPr>
                <w:rFonts w:eastAsia="Arial" w:cs="Arial"/>
                <w:szCs w:val="22"/>
                <w:lang w:val="es-ES"/>
              </w:rPr>
              <w:tab/>
              <w:t xml:space="preserve">Competencia y mejores condiciones de mercado en los </w:t>
            </w:r>
            <w:r w:rsidRPr="00235B37">
              <w:rPr>
                <w:rFonts w:eastAsia="Arial" w:cs="Arial"/>
                <w:szCs w:val="22"/>
                <w:lang w:val="es-ES"/>
              </w:rPr>
              <w:lastRenderedPageBreak/>
              <w:t>procedimientos de compras púbicas.</w:t>
            </w:r>
          </w:p>
          <w:p w14:paraId="2205CB6F" w14:textId="77777777" w:rsidR="00924154" w:rsidRPr="00235B37" w:rsidRDefault="00924154" w:rsidP="00235B37">
            <w:pPr>
              <w:cnfStyle w:val="000000100000" w:firstRow="0" w:lastRow="0" w:firstColumn="0" w:lastColumn="0" w:oddVBand="0" w:evenVBand="0" w:oddHBand="1" w:evenHBand="0" w:firstRowFirstColumn="0" w:firstRowLastColumn="0" w:lastRowFirstColumn="0" w:lastRowLastColumn="0"/>
              <w:rPr>
                <w:rFonts w:eastAsia="Arial" w:cs="Arial"/>
                <w:szCs w:val="22"/>
                <w:lang w:val="es-ES"/>
              </w:rPr>
            </w:pPr>
            <w:r w:rsidRPr="00235B37">
              <w:rPr>
                <w:rFonts w:eastAsia="Arial" w:cs="Arial"/>
                <w:szCs w:val="22"/>
                <w:lang w:val="es-ES"/>
              </w:rPr>
              <w:t>b)</w:t>
            </w:r>
            <w:r w:rsidRPr="00235B37">
              <w:rPr>
                <w:rFonts w:eastAsia="Arial" w:cs="Arial"/>
                <w:szCs w:val="22"/>
                <w:lang w:val="es-ES"/>
              </w:rPr>
              <w:tab/>
              <w:t>Fortalecimiento del marco normativo relativo a las condiciones de compra de medicamentos y otros insumos para la salud.</w:t>
            </w:r>
          </w:p>
          <w:p w14:paraId="535A15B3" w14:textId="77777777" w:rsidR="00924154" w:rsidRPr="00235B37" w:rsidRDefault="00924154" w:rsidP="00235B37">
            <w:pPr>
              <w:cnfStyle w:val="000000100000" w:firstRow="0" w:lastRow="0" w:firstColumn="0" w:lastColumn="0" w:oddVBand="0" w:evenVBand="0" w:oddHBand="1" w:evenHBand="0" w:firstRowFirstColumn="0" w:firstRowLastColumn="0" w:lastRowFirstColumn="0" w:lastRowLastColumn="0"/>
              <w:rPr>
                <w:rFonts w:eastAsia="Arial" w:cs="Arial"/>
                <w:szCs w:val="22"/>
                <w:lang w:val="es-ES"/>
              </w:rPr>
            </w:pPr>
            <w:r w:rsidRPr="00235B37">
              <w:rPr>
                <w:rFonts w:eastAsia="Arial" w:cs="Arial"/>
                <w:szCs w:val="22"/>
                <w:lang w:val="es-ES"/>
              </w:rPr>
              <w:t>c)</w:t>
            </w:r>
            <w:r w:rsidRPr="00235B37">
              <w:rPr>
                <w:rFonts w:eastAsia="Arial" w:cs="Arial"/>
                <w:szCs w:val="22"/>
                <w:lang w:val="es-ES"/>
              </w:rPr>
              <w:tab/>
              <w:t xml:space="preserve">Mejora de la gestión municipal. </w:t>
            </w:r>
          </w:p>
          <w:p w14:paraId="61A6606F" w14:textId="41FF4C98" w:rsidR="00924154" w:rsidRPr="00C7226B" w:rsidRDefault="00924154" w:rsidP="00235B37">
            <w:pPr>
              <w:cnfStyle w:val="000000100000" w:firstRow="0" w:lastRow="0" w:firstColumn="0" w:lastColumn="0" w:oddVBand="0" w:evenVBand="0" w:oddHBand="1" w:evenHBand="0" w:firstRowFirstColumn="0" w:firstRowLastColumn="0" w:lastRowFirstColumn="0" w:lastRowLastColumn="0"/>
              <w:rPr>
                <w:rFonts w:eastAsia="Arial" w:cs="Arial"/>
                <w:szCs w:val="22"/>
                <w:lang w:val="es-ES"/>
              </w:rPr>
            </w:pPr>
            <w:r w:rsidRPr="00235B37">
              <w:rPr>
                <w:rFonts w:eastAsia="Arial" w:cs="Arial"/>
                <w:szCs w:val="22"/>
                <w:lang w:val="es-ES"/>
              </w:rPr>
              <w:t>d)</w:t>
            </w:r>
            <w:r w:rsidRPr="00235B37">
              <w:rPr>
                <w:rFonts w:eastAsia="Arial" w:cs="Arial"/>
                <w:szCs w:val="22"/>
                <w:lang w:val="es-ES"/>
              </w:rPr>
              <w:tab/>
              <w:t>Establecimiento de garantías para independencia de los OIC municipales.</w:t>
            </w:r>
          </w:p>
        </w:tc>
        <w:tc>
          <w:tcPr>
            <w:tcW w:w="2737" w:type="dxa"/>
          </w:tcPr>
          <w:p w14:paraId="48C56442" w14:textId="77777777" w:rsidR="00924154" w:rsidRPr="00651B3A" w:rsidRDefault="00924154" w:rsidP="00651B3A">
            <w:pPr>
              <w:ind w:left="317" w:hanging="284"/>
              <w:cnfStyle w:val="000000100000" w:firstRow="0" w:lastRow="0" w:firstColumn="0" w:lastColumn="0" w:oddVBand="0" w:evenVBand="0" w:oddHBand="1" w:evenHBand="0" w:firstRowFirstColumn="0" w:firstRowLastColumn="0" w:lastRowFirstColumn="0" w:lastRowLastColumn="0"/>
              <w:rPr>
                <w:rFonts w:eastAsia="Arial" w:cs="Arial"/>
                <w:szCs w:val="22"/>
                <w:lang w:val="es-ES"/>
              </w:rPr>
            </w:pPr>
            <w:r w:rsidRPr="00651B3A">
              <w:rPr>
                <w:rFonts w:eastAsia="Arial" w:cs="Arial"/>
                <w:szCs w:val="22"/>
                <w:lang w:val="es-ES"/>
              </w:rPr>
              <w:lastRenderedPageBreak/>
              <w:t>Concluido:</w:t>
            </w:r>
          </w:p>
          <w:p w14:paraId="46CE7F3B" w14:textId="57A414A9" w:rsidR="00924154" w:rsidRPr="00651B3A" w:rsidRDefault="00924154" w:rsidP="00651B3A">
            <w:pPr>
              <w:pStyle w:val="Prrafodelista"/>
              <w:numPr>
                <w:ilvl w:val="0"/>
                <w:numId w:val="12"/>
              </w:numPr>
              <w:ind w:left="170" w:hanging="170"/>
              <w:jc w:val="both"/>
              <w:cnfStyle w:val="000000100000" w:firstRow="0" w:lastRow="0" w:firstColumn="0" w:lastColumn="0" w:oddVBand="0" w:evenVBand="0" w:oddHBand="1" w:evenHBand="0" w:firstRowFirstColumn="0" w:firstRowLastColumn="0" w:lastRowFirstColumn="0" w:lastRowLastColumn="0"/>
              <w:rPr>
                <w:rFonts w:eastAsia="Arial" w:cs="Arial"/>
                <w:szCs w:val="22"/>
              </w:rPr>
            </w:pPr>
            <w:r w:rsidRPr="00651B3A">
              <w:rPr>
                <w:rFonts w:eastAsia="Arial" w:cs="Arial"/>
                <w:szCs w:val="22"/>
              </w:rPr>
              <w:t>Se incluye en las actividades a desarrollar por el Comité Coordinador y la Comisión Ejecutiva para el 2020, aprobadas en los Programas de Trabajo.</w:t>
            </w:r>
          </w:p>
        </w:tc>
      </w:tr>
      <w:tr w:rsidR="00DF3135" w14:paraId="0E302ABB" w14:textId="77777777" w:rsidTr="00771A6F">
        <w:tc>
          <w:tcPr>
            <w:cnfStyle w:val="001000000000" w:firstRow="0" w:lastRow="0" w:firstColumn="1" w:lastColumn="0" w:oddVBand="0" w:evenVBand="0" w:oddHBand="0" w:evenHBand="0" w:firstRowFirstColumn="0" w:firstRowLastColumn="0" w:lastRowFirstColumn="0" w:lastRowLastColumn="0"/>
            <w:tcW w:w="704" w:type="dxa"/>
          </w:tcPr>
          <w:p w14:paraId="45F3C4CF" w14:textId="77777777" w:rsidR="00924154" w:rsidRDefault="00924154" w:rsidP="00DF3135">
            <w:pPr>
              <w:jc w:val="center"/>
              <w:rPr>
                <w:rFonts w:eastAsia="Arial" w:cs="Arial"/>
                <w:b w:val="0"/>
                <w:bCs w:val="0"/>
                <w:sz w:val="20"/>
                <w:szCs w:val="20"/>
                <w:lang w:val="es-ES"/>
              </w:rPr>
            </w:pPr>
          </w:p>
          <w:p w14:paraId="1E9E47E2" w14:textId="77777777" w:rsidR="00924154" w:rsidRDefault="00924154" w:rsidP="00DF3135">
            <w:pPr>
              <w:jc w:val="center"/>
              <w:rPr>
                <w:rFonts w:eastAsia="Arial" w:cs="Arial"/>
                <w:b w:val="0"/>
                <w:bCs w:val="0"/>
                <w:sz w:val="20"/>
                <w:szCs w:val="20"/>
                <w:lang w:val="es-ES"/>
              </w:rPr>
            </w:pPr>
          </w:p>
          <w:p w14:paraId="4441348C" w14:textId="77777777" w:rsidR="00924154" w:rsidRDefault="00924154" w:rsidP="00DF3135">
            <w:pPr>
              <w:jc w:val="center"/>
              <w:rPr>
                <w:rFonts w:eastAsia="Arial" w:cs="Arial"/>
                <w:b w:val="0"/>
                <w:bCs w:val="0"/>
                <w:sz w:val="20"/>
                <w:szCs w:val="20"/>
                <w:lang w:val="es-ES"/>
              </w:rPr>
            </w:pPr>
          </w:p>
          <w:p w14:paraId="75F580AE" w14:textId="393869D7" w:rsidR="00DF3135" w:rsidRPr="00C7226B" w:rsidRDefault="00924154" w:rsidP="00DF3135">
            <w:pPr>
              <w:jc w:val="center"/>
              <w:rPr>
                <w:rFonts w:eastAsia="Arial" w:cs="Arial"/>
                <w:b w:val="0"/>
                <w:bCs w:val="0"/>
                <w:sz w:val="20"/>
                <w:szCs w:val="20"/>
                <w:lang w:val="es-ES"/>
              </w:rPr>
            </w:pPr>
            <w:r w:rsidRPr="00924154">
              <w:rPr>
                <w:rFonts w:eastAsia="Arial" w:cs="Arial"/>
                <w:sz w:val="20"/>
                <w:szCs w:val="20"/>
                <w:lang w:val="es-ES"/>
              </w:rPr>
              <w:t>2019</w:t>
            </w:r>
          </w:p>
        </w:tc>
        <w:tc>
          <w:tcPr>
            <w:tcW w:w="2268" w:type="dxa"/>
          </w:tcPr>
          <w:p w14:paraId="66567763" w14:textId="2E7C6A10" w:rsidR="00DF3135" w:rsidRPr="00C7226B" w:rsidRDefault="00DF3135" w:rsidP="00DF3135">
            <w:pPr>
              <w:cnfStyle w:val="000000000000" w:firstRow="0" w:lastRow="0" w:firstColumn="0" w:lastColumn="0" w:oddVBand="0" w:evenVBand="0" w:oddHBand="0" w:evenHBand="0" w:firstRowFirstColumn="0" w:firstRowLastColumn="0" w:lastRowFirstColumn="0" w:lastRowLastColumn="0"/>
              <w:rPr>
                <w:rFonts w:eastAsia="Arial" w:cs="Arial"/>
                <w:szCs w:val="22"/>
                <w:lang w:val="es-ES"/>
              </w:rPr>
            </w:pPr>
            <w:r w:rsidRPr="00DF3135">
              <w:rPr>
                <w:rFonts w:eastAsia="Arial" w:cs="Arial"/>
                <w:szCs w:val="22"/>
                <w:lang w:val="es-ES"/>
              </w:rPr>
              <w:t>A.CE.2019.16 del 15 de octubre de 2019</w:t>
            </w:r>
          </w:p>
        </w:tc>
        <w:tc>
          <w:tcPr>
            <w:tcW w:w="3119" w:type="dxa"/>
          </w:tcPr>
          <w:p w14:paraId="1E2F0BA0" w14:textId="75FDAC12" w:rsidR="00DF3135" w:rsidRPr="00C7226B" w:rsidRDefault="00DF3135" w:rsidP="00DF3135">
            <w:pPr>
              <w:cnfStyle w:val="000000000000" w:firstRow="0" w:lastRow="0" w:firstColumn="0" w:lastColumn="0" w:oddVBand="0" w:evenVBand="0" w:oddHBand="0" w:evenHBand="0" w:firstRowFirstColumn="0" w:firstRowLastColumn="0" w:lastRowFirstColumn="0" w:lastRowLastColumn="0"/>
              <w:rPr>
                <w:rFonts w:eastAsia="Arial" w:cs="Arial"/>
                <w:szCs w:val="22"/>
                <w:lang w:val="es-ES"/>
              </w:rPr>
            </w:pPr>
            <w:r w:rsidRPr="00DF3135">
              <w:rPr>
                <w:rFonts w:eastAsia="Arial" w:cs="Arial"/>
                <w:szCs w:val="22"/>
                <w:lang w:val="es-ES"/>
              </w:rPr>
              <w:t>Se acuerda que la Comisión Ejecutiva, en conjunto con la Secretaría Ejecutiva, inicien el análisis correspondiente a las propuestas presentadas por la Contralora del Estado al Comité Coordinador, con relación a elaborar una Propuesta de Política de Integridad.</w:t>
            </w:r>
          </w:p>
        </w:tc>
        <w:tc>
          <w:tcPr>
            <w:tcW w:w="2737" w:type="dxa"/>
          </w:tcPr>
          <w:p w14:paraId="1FBF1A97" w14:textId="77777777" w:rsidR="00DF3135" w:rsidRPr="00DF3135" w:rsidRDefault="00DF3135" w:rsidP="00DF3135">
            <w:pPr>
              <w:ind w:left="317" w:hanging="284"/>
              <w:cnfStyle w:val="000000000000" w:firstRow="0" w:lastRow="0" w:firstColumn="0" w:lastColumn="0" w:oddVBand="0" w:evenVBand="0" w:oddHBand="0" w:evenHBand="0" w:firstRowFirstColumn="0" w:firstRowLastColumn="0" w:lastRowFirstColumn="0" w:lastRowLastColumn="0"/>
              <w:rPr>
                <w:rFonts w:eastAsia="Arial" w:cs="Arial"/>
                <w:szCs w:val="22"/>
                <w:lang w:val="es-ES"/>
              </w:rPr>
            </w:pPr>
            <w:r w:rsidRPr="00DF3135">
              <w:rPr>
                <w:rFonts w:eastAsia="Arial" w:cs="Arial"/>
                <w:szCs w:val="22"/>
                <w:lang w:val="es-ES"/>
              </w:rPr>
              <w:t>Concluido:</w:t>
            </w:r>
          </w:p>
          <w:p w14:paraId="0DDDB9DE" w14:textId="016BC3A3" w:rsidR="00DF3135" w:rsidRPr="00DF3135" w:rsidRDefault="00DF3135" w:rsidP="00DF3135">
            <w:pPr>
              <w:pStyle w:val="Prrafodelista"/>
              <w:numPr>
                <w:ilvl w:val="0"/>
                <w:numId w:val="12"/>
              </w:numPr>
              <w:ind w:left="170" w:hanging="142"/>
              <w:jc w:val="both"/>
              <w:cnfStyle w:val="000000000000" w:firstRow="0" w:lastRow="0" w:firstColumn="0" w:lastColumn="0" w:oddVBand="0" w:evenVBand="0" w:oddHBand="0" w:evenHBand="0" w:firstRowFirstColumn="0" w:firstRowLastColumn="0" w:lastRowFirstColumn="0" w:lastRowLastColumn="0"/>
              <w:rPr>
                <w:rFonts w:eastAsia="Arial" w:cs="Arial"/>
                <w:szCs w:val="22"/>
              </w:rPr>
            </w:pPr>
            <w:r w:rsidRPr="00DF3135">
              <w:rPr>
                <w:rFonts w:eastAsia="Arial" w:cs="Arial"/>
                <w:szCs w:val="22"/>
              </w:rPr>
              <w:t>Se incluye en las actividades a desarrollar por el Comité Coordinador y la Comisión Ejecutiva para el 2020, aprobadas en los Programas de Trabajo.</w:t>
            </w:r>
          </w:p>
        </w:tc>
      </w:tr>
    </w:tbl>
    <w:p w14:paraId="42396B94" w14:textId="77777777" w:rsidR="00C86FA3" w:rsidRDefault="00C86FA3" w:rsidP="00C86FA3">
      <w:pPr>
        <w:rPr>
          <w:rFonts w:eastAsia="Arial" w:cs="Arial"/>
          <w:b/>
          <w:bCs/>
          <w:color w:val="006078"/>
          <w:szCs w:val="22"/>
        </w:rPr>
      </w:pPr>
    </w:p>
    <w:p w14:paraId="075CB4E0" w14:textId="77777777" w:rsidR="005B0363" w:rsidRPr="005B0363" w:rsidRDefault="005B0363" w:rsidP="005B0363">
      <w:pPr>
        <w:rPr>
          <w:rFonts w:eastAsia="Arial" w:cs="Arial"/>
          <w:szCs w:val="22"/>
          <w:lang w:val="es-ES"/>
        </w:rPr>
      </w:pPr>
      <w:r w:rsidRPr="005B0363">
        <w:rPr>
          <w:rFonts w:eastAsia="Arial" w:cs="Arial"/>
          <w:szCs w:val="22"/>
          <w:lang w:val="es-ES"/>
        </w:rPr>
        <w:t xml:space="preserve">Sobre el acuerdo </w:t>
      </w:r>
      <w:r w:rsidRPr="005B0363">
        <w:rPr>
          <w:rFonts w:eastAsia="Arial" w:cs="Arial"/>
          <w:b/>
          <w:bCs/>
          <w:szCs w:val="22"/>
          <w:lang w:val="es-ES"/>
        </w:rPr>
        <w:t>A.CE.2018.3</w:t>
      </w:r>
      <w:r w:rsidRPr="005B0363">
        <w:rPr>
          <w:rFonts w:eastAsia="Arial" w:cs="Arial"/>
          <w:szCs w:val="22"/>
          <w:lang w:val="es-ES"/>
        </w:rPr>
        <w:t xml:space="preserve">, relacionado con analizar las propuestas de la Contraloría del Estado en materia de Órganos Internos de Control, mecanismos de prevención, control e instrumentos de rendición de cuentas, la Secretaria Técnica menciona que en la sesión anterior se presentó una tabla con el análisis de los documentos presentados por la Contralora del Estado, así como los productos y actividades que se realizaron con relación a ello, además de que se incluyen como parte de las actividades a desarrollar en los Programas de Trabajo de 2020 tanto de la Comisión Ejecutiva como del Comité Coordinador, por lo que se da por concluido dicho acuerdo. </w:t>
      </w:r>
    </w:p>
    <w:p w14:paraId="0A939EE4" w14:textId="77777777" w:rsidR="005B0363" w:rsidRPr="005B0363" w:rsidRDefault="005B0363" w:rsidP="005B0363">
      <w:pPr>
        <w:rPr>
          <w:rFonts w:eastAsia="Arial" w:cs="Arial"/>
          <w:szCs w:val="22"/>
          <w:lang w:val="es-ES"/>
        </w:rPr>
      </w:pPr>
    </w:p>
    <w:p w14:paraId="5C433611" w14:textId="77777777" w:rsidR="005B0363" w:rsidRPr="005B0363" w:rsidRDefault="005B0363" w:rsidP="005B0363">
      <w:pPr>
        <w:rPr>
          <w:rFonts w:eastAsia="Arial" w:cs="Arial"/>
          <w:szCs w:val="22"/>
          <w:lang w:val="es-ES"/>
        </w:rPr>
      </w:pPr>
      <w:r w:rsidRPr="005B0363">
        <w:rPr>
          <w:rFonts w:eastAsia="Arial" w:cs="Arial"/>
          <w:szCs w:val="22"/>
          <w:lang w:val="es-ES"/>
        </w:rPr>
        <w:t xml:space="preserve">La Secretaria Técnica continúa con el acuerdo </w:t>
      </w:r>
      <w:r w:rsidRPr="005B0363">
        <w:rPr>
          <w:rFonts w:eastAsia="Arial" w:cs="Arial"/>
          <w:b/>
          <w:bCs/>
          <w:szCs w:val="22"/>
          <w:lang w:val="es-ES"/>
        </w:rPr>
        <w:t>A.CE.2019.10</w:t>
      </w:r>
      <w:r w:rsidRPr="005B0363">
        <w:rPr>
          <w:rFonts w:eastAsia="Arial" w:cs="Arial"/>
          <w:szCs w:val="22"/>
          <w:lang w:val="es-ES"/>
        </w:rPr>
        <w:t xml:space="preserve">, sobre aprobar en lo general la metodología de trabajo para la elaboración del diagnóstico de la situación de los Órganos Internos de Control de los entes públicos, y resalta que al igual que el acuerdo anterior, es parte de las actividades a desarrollar durante 2020. </w:t>
      </w:r>
    </w:p>
    <w:p w14:paraId="197E0E95" w14:textId="77777777" w:rsidR="005B0363" w:rsidRPr="005B0363" w:rsidRDefault="005B0363" w:rsidP="005B0363">
      <w:pPr>
        <w:rPr>
          <w:rFonts w:eastAsia="Arial" w:cs="Arial"/>
          <w:szCs w:val="22"/>
          <w:lang w:val="es-ES"/>
        </w:rPr>
      </w:pPr>
    </w:p>
    <w:p w14:paraId="14022CE5" w14:textId="7F39BF7B" w:rsidR="005B0363" w:rsidRPr="005B0363" w:rsidRDefault="005B0363" w:rsidP="005B0363">
      <w:pPr>
        <w:rPr>
          <w:rFonts w:eastAsia="Arial" w:cs="Arial"/>
          <w:szCs w:val="22"/>
          <w:lang w:val="es-ES"/>
        </w:rPr>
      </w:pPr>
      <w:r w:rsidRPr="005B0363">
        <w:rPr>
          <w:rFonts w:eastAsia="Arial" w:cs="Arial"/>
          <w:szCs w:val="22"/>
          <w:lang w:val="es-ES"/>
        </w:rPr>
        <w:t xml:space="preserve">Destaca además que durante el primer cuatrimestre del año se levantará el censo de los Órganos Internos de Control en los 423 entes públicos de Jalisco identificados, tras analizar las bases de datos de la Secretaría de la Hacienda Pública y el Consejo Nacional de Armonización Contable (CONAC); asimismo, </w:t>
      </w:r>
      <w:r w:rsidR="00BE2EA5" w:rsidRPr="005B0363">
        <w:rPr>
          <w:rFonts w:eastAsia="Arial" w:cs="Arial"/>
          <w:szCs w:val="22"/>
          <w:lang w:val="es-ES"/>
        </w:rPr>
        <w:t>menciona que</w:t>
      </w:r>
      <w:r w:rsidRPr="005B0363">
        <w:rPr>
          <w:rFonts w:eastAsia="Arial" w:cs="Arial"/>
          <w:szCs w:val="22"/>
          <w:lang w:val="es-ES"/>
        </w:rPr>
        <w:t xml:space="preserve"> el Instituto de Información Estadística y Geográfica del Estado de Jalisco (IIEG) ha destinado $200,000.00 de su presupuesto al proyecto conjunto con la SESAJ. Se incluyen al cuestionario cinco preguntas diseñadas por el IIEG para integrar un índice estatal con desagregación municipal.</w:t>
      </w:r>
    </w:p>
    <w:p w14:paraId="3280FA99" w14:textId="77777777" w:rsidR="005B0363" w:rsidRPr="005B0363" w:rsidRDefault="005B0363" w:rsidP="005B0363">
      <w:pPr>
        <w:rPr>
          <w:rFonts w:eastAsia="Arial" w:cs="Arial"/>
          <w:szCs w:val="22"/>
          <w:lang w:val="es-ES"/>
        </w:rPr>
      </w:pPr>
    </w:p>
    <w:p w14:paraId="191A9C45" w14:textId="77777777" w:rsidR="005B0363" w:rsidRPr="005B0363" w:rsidRDefault="005B0363" w:rsidP="005B0363">
      <w:pPr>
        <w:rPr>
          <w:rFonts w:eastAsia="Arial" w:cs="Arial"/>
          <w:szCs w:val="22"/>
          <w:lang w:val="es-ES"/>
        </w:rPr>
      </w:pPr>
      <w:r w:rsidRPr="005B0363">
        <w:rPr>
          <w:rFonts w:eastAsia="Arial" w:cs="Arial"/>
          <w:szCs w:val="22"/>
          <w:lang w:val="es-ES"/>
        </w:rPr>
        <w:t xml:space="preserve">La Secretaria Técnica prosigue con el acuerdo </w:t>
      </w:r>
      <w:r w:rsidRPr="005B0363">
        <w:rPr>
          <w:rFonts w:eastAsia="Arial" w:cs="Arial"/>
          <w:b/>
          <w:bCs/>
          <w:szCs w:val="22"/>
          <w:lang w:val="es-ES"/>
        </w:rPr>
        <w:t>A.CE.2019.11</w:t>
      </w:r>
      <w:r w:rsidRPr="005B0363">
        <w:rPr>
          <w:rFonts w:eastAsia="Arial" w:cs="Arial"/>
          <w:szCs w:val="22"/>
          <w:lang w:val="es-ES"/>
        </w:rPr>
        <w:t xml:space="preserve">, en relación a implementar dentro de esta Comisión la utilización de la firma electrónica (e-firma) como una prueba piloto para examinar la factibilidad de su uso y proponerlo al Comité Coordinador. Señala que se ha hecho un seguimiento puntual y recuerda que desde el 2019 se buscó la posibilidad de implementar una e-firma con el Gobierno del Estado; sin embargo, después de una consulta con la Secretaría Ejecutiva del Sistema Nacional Anticorrupción (SESNA) se resolvió que dicha firma no tendría compatibilidad para los efectos requeridos a nivel nacional, por lo que se determinó implementar la e-firma del SAT mediante un software que puso a disposición la SESNA. Derivado de lo anterior, se consultó nuevamente a la SESNA sobre cómo disponer del software para la implementación de la e-firma, a lo cual respondió la SESNA que dicho software fue puesto a prueba únicamente para el 2019, y que cada Secretaría Ejecutiva puede resolver con libertad sobre qué software utilizar. </w:t>
      </w:r>
    </w:p>
    <w:p w14:paraId="2CE9D0FE" w14:textId="77777777" w:rsidR="005B0363" w:rsidRPr="005B0363" w:rsidRDefault="005B0363" w:rsidP="005B0363">
      <w:pPr>
        <w:rPr>
          <w:rFonts w:eastAsia="Arial" w:cs="Arial"/>
          <w:szCs w:val="22"/>
          <w:lang w:val="es-ES"/>
        </w:rPr>
      </w:pPr>
    </w:p>
    <w:p w14:paraId="21037685" w14:textId="77777777" w:rsidR="005B0363" w:rsidRPr="005B0363" w:rsidRDefault="005B0363" w:rsidP="005B0363">
      <w:pPr>
        <w:rPr>
          <w:rFonts w:eastAsia="Arial" w:cs="Arial"/>
          <w:szCs w:val="22"/>
          <w:lang w:val="es-ES"/>
        </w:rPr>
      </w:pPr>
      <w:r w:rsidRPr="005B0363">
        <w:rPr>
          <w:rFonts w:eastAsia="Arial" w:cs="Arial"/>
          <w:szCs w:val="22"/>
          <w:lang w:val="es-ES"/>
        </w:rPr>
        <w:t xml:space="preserve">Por ello, la Secretaria Técnica propone que se suspenda dicho acuerdo, en razón de que es un acuerdo de voluntad y tomando en consideración la disminución del presupuesto para la adquisición de un software. La Dra. Annel Vázquez Anderson señala que si no es un acuerdo obligatorio se debería dar por concluido, y en el momento en que las condiciones requeridas por parte de la SESAJ se cumplan para poder implementar el uso de una e-firma se tome en su momento un nuevo acuerdo. Los integrantes de la Comisión Ejecutiva se manifiestan a favor y se da por concluido. </w:t>
      </w:r>
    </w:p>
    <w:p w14:paraId="1CE6826B" w14:textId="77777777" w:rsidR="005B0363" w:rsidRPr="005B0363" w:rsidRDefault="005B0363" w:rsidP="005B0363">
      <w:pPr>
        <w:rPr>
          <w:rFonts w:eastAsia="Arial" w:cs="Arial"/>
          <w:szCs w:val="22"/>
          <w:lang w:val="es-ES"/>
        </w:rPr>
      </w:pPr>
    </w:p>
    <w:p w14:paraId="5225FBE4" w14:textId="77777777" w:rsidR="005B0363" w:rsidRPr="005B0363" w:rsidRDefault="005B0363" w:rsidP="005B0363">
      <w:pPr>
        <w:rPr>
          <w:rFonts w:eastAsia="Arial" w:cs="Arial"/>
          <w:szCs w:val="22"/>
          <w:lang w:val="es-ES"/>
        </w:rPr>
      </w:pPr>
      <w:r w:rsidRPr="005B0363">
        <w:rPr>
          <w:rFonts w:eastAsia="Arial" w:cs="Arial"/>
          <w:szCs w:val="22"/>
          <w:lang w:val="es-ES"/>
        </w:rPr>
        <w:t xml:space="preserve">Continúa la Secretaria Técnica con el acuerdo </w:t>
      </w:r>
      <w:r w:rsidRPr="005B0363">
        <w:rPr>
          <w:rFonts w:eastAsia="Arial" w:cs="Arial"/>
          <w:b/>
          <w:bCs/>
          <w:szCs w:val="22"/>
          <w:lang w:val="es-ES"/>
        </w:rPr>
        <w:t>A.CE.2019.13</w:t>
      </w:r>
      <w:r w:rsidRPr="005B0363">
        <w:rPr>
          <w:rFonts w:eastAsia="Arial" w:cs="Arial"/>
          <w:szCs w:val="22"/>
          <w:lang w:val="es-ES"/>
        </w:rPr>
        <w:t xml:space="preserve">, respecto a elaborar un análisis sobre la pertinencia y factibilidad del desarrollo de un sistema de denuncia y queja y presentar los resultados al Comité Coordinador. Informa que se ha avanzado en el tema y resalta que, respecto a los requerimientos tecnológicos, el desarrollo de dicho sistema es viable, por lo que se estableció al igual que acuerdos anteriores como parte de los proyectos a desarrollar en el 2020. En razón de no tener acuerdos resueltos, se propone darlo por concluido y darle seguimiento con los avances del Programa de Trabajo. </w:t>
      </w:r>
    </w:p>
    <w:p w14:paraId="163D3C70" w14:textId="77777777" w:rsidR="005B0363" w:rsidRPr="005B0363" w:rsidRDefault="005B0363" w:rsidP="005B0363">
      <w:pPr>
        <w:rPr>
          <w:rFonts w:eastAsia="Arial" w:cs="Arial"/>
          <w:szCs w:val="22"/>
          <w:lang w:val="es-ES"/>
        </w:rPr>
      </w:pPr>
    </w:p>
    <w:p w14:paraId="617A3FCC" w14:textId="464449A9" w:rsidR="00771A6F" w:rsidRDefault="005B0363" w:rsidP="005B0363">
      <w:pPr>
        <w:rPr>
          <w:rFonts w:eastAsia="Arial" w:cs="Arial"/>
          <w:b/>
          <w:bCs/>
          <w:color w:val="006078"/>
          <w:szCs w:val="22"/>
        </w:rPr>
      </w:pPr>
      <w:r w:rsidRPr="005B0363">
        <w:rPr>
          <w:rFonts w:eastAsia="Arial" w:cs="Arial"/>
          <w:szCs w:val="22"/>
          <w:lang w:val="es-ES"/>
        </w:rPr>
        <w:t xml:space="preserve">La Secretaria Técnica sigue con los acuerdos </w:t>
      </w:r>
      <w:r w:rsidRPr="005B0363">
        <w:rPr>
          <w:rFonts w:eastAsia="Arial" w:cs="Arial"/>
          <w:b/>
          <w:bCs/>
          <w:szCs w:val="22"/>
          <w:lang w:val="es-ES"/>
        </w:rPr>
        <w:t>A.CE.2019.15</w:t>
      </w:r>
      <w:r w:rsidRPr="005B0363">
        <w:rPr>
          <w:rFonts w:eastAsia="Arial" w:cs="Arial"/>
          <w:szCs w:val="22"/>
          <w:lang w:val="es-ES"/>
        </w:rPr>
        <w:t xml:space="preserve"> y </w:t>
      </w:r>
      <w:r w:rsidRPr="005B0363">
        <w:rPr>
          <w:rFonts w:eastAsia="Arial" w:cs="Arial"/>
          <w:b/>
          <w:bCs/>
          <w:szCs w:val="22"/>
          <w:lang w:val="es-ES"/>
        </w:rPr>
        <w:t>A.CE.2019.16</w:t>
      </w:r>
      <w:r w:rsidRPr="005B0363">
        <w:rPr>
          <w:rFonts w:eastAsia="Arial" w:cs="Arial"/>
          <w:szCs w:val="22"/>
          <w:lang w:val="es-ES"/>
        </w:rPr>
        <w:t>, con relación a las propuestas presentadas por el Auditor Superior del Estado y la Contralora del Estado. Señala que al igual que el acuerdo anterior, se propone darlos por concluidos en razón de que forman parte de las actividades planteadas para 2020.</w:t>
      </w:r>
    </w:p>
    <w:p w14:paraId="29EE6E7F" w14:textId="77777777" w:rsidR="00771A6F" w:rsidRDefault="00771A6F" w:rsidP="00C86FA3">
      <w:pPr>
        <w:rPr>
          <w:rFonts w:eastAsia="Arial" w:cs="Arial"/>
          <w:b/>
          <w:bCs/>
          <w:color w:val="006078"/>
          <w:szCs w:val="22"/>
        </w:rPr>
      </w:pPr>
    </w:p>
    <w:p w14:paraId="3646A8F0" w14:textId="26B5ED7F" w:rsidR="00D2631D" w:rsidRPr="00D2631D" w:rsidRDefault="00D2631D" w:rsidP="00D2631D">
      <w:pPr>
        <w:pStyle w:val="Prrafodelista"/>
        <w:numPr>
          <w:ilvl w:val="0"/>
          <w:numId w:val="7"/>
        </w:numPr>
        <w:rPr>
          <w:rFonts w:eastAsia="Arial" w:cs="Arial"/>
          <w:b/>
          <w:bCs/>
          <w:color w:val="006078"/>
          <w:szCs w:val="22"/>
        </w:rPr>
      </w:pPr>
      <w:bookmarkStart w:id="1" w:name="_Hlk42520280"/>
      <w:r w:rsidRPr="00D2631D">
        <w:rPr>
          <w:rFonts w:eastAsia="Arial" w:cs="Arial"/>
          <w:b/>
          <w:bCs/>
          <w:color w:val="006078"/>
          <w:szCs w:val="22"/>
        </w:rPr>
        <w:t>Presentación del Programa de Trabajo 2020</w:t>
      </w:r>
    </w:p>
    <w:p w14:paraId="325314A3" w14:textId="77777777" w:rsidR="00771A6F" w:rsidRDefault="00771A6F" w:rsidP="00CD0D2D">
      <w:pPr>
        <w:pStyle w:val="Prrafodelista"/>
        <w:jc w:val="both"/>
        <w:rPr>
          <w:rFonts w:eastAsia="Arial" w:cs="Arial"/>
          <w:szCs w:val="22"/>
          <w:highlight w:val="white"/>
        </w:rPr>
      </w:pPr>
    </w:p>
    <w:bookmarkEnd w:id="1"/>
    <w:p w14:paraId="69EB7904" w14:textId="6C70163D" w:rsidR="003A7310" w:rsidRDefault="003A7310" w:rsidP="003A7310">
      <w:pPr>
        <w:tabs>
          <w:tab w:val="left" w:pos="2610"/>
        </w:tabs>
        <w:rPr>
          <w:rFonts w:eastAsia="Arial" w:cs="Arial"/>
          <w:szCs w:val="22"/>
          <w:lang w:val="es-ES"/>
        </w:rPr>
      </w:pPr>
      <w:r w:rsidRPr="003A7310">
        <w:rPr>
          <w:rFonts w:eastAsia="Arial" w:cs="Arial"/>
          <w:szCs w:val="22"/>
          <w:lang w:val="es-ES"/>
        </w:rPr>
        <w:t xml:space="preserve">La Secretaria Técnica indica que con relación al Programa de Trabajo </w:t>
      </w:r>
      <w:r w:rsidR="00BE2EA5" w:rsidRPr="003A7310">
        <w:rPr>
          <w:rFonts w:eastAsia="Arial" w:cs="Arial"/>
          <w:szCs w:val="22"/>
          <w:lang w:val="es-ES"/>
        </w:rPr>
        <w:t>2020, como</w:t>
      </w:r>
      <w:r w:rsidRPr="003A7310">
        <w:rPr>
          <w:rFonts w:eastAsia="Arial" w:cs="Arial"/>
          <w:szCs w:val="22"/>
          <w:lang w:val="es-ES"/>
        </w:rPr>
        <w:t xml:space="preserve"> se había expuesto en ocasiones anteriores, la Comisión Ejecutiva por ley tiene la obligación de elaborar un Programa de Trabajo en particular, y se plantearon una serie de actividades a desarrollar por esta Secretaría Ejecutiva en donde se establece si participa la Comisión Ejecutiva o no. </w:t>
      </w:r>
    </w:p>
    <w:p w14:paraId="7F6502D6" w14:textId="77777777" w:rsidR="003A7310" w:rsidRPr="003A7310" w:rsidRDefault="003A7310" w:rsidP="003A7310">
      <w:pPr>
        <w:tabs>
          <w:tab w:val="left" w:pos="2610"/>
        </w:tabs>
        <w:rPr>
          <w:rFonts w:eastAsia="Arial" w:cs="Arial"/>
          <w:szCs w:val="22"/>
          <w:lang w:val="es-ES"/>
        </w:rPr>
      </w:pPr>
    </w:p>
    <w:p w14:paraId="098E8B24" w14:textId="066C024B" w:rsidR="003A7310" w:rsidRPr="003A7310" w:rsidRDefault="003A7310" w:rsidP="003A7310">
      <w:pPr>
        <w:tabs>
          <w:tab w:val="left" w:pos="2610"/>
        </w:tabs>
        <w:rPr>
          <w:rFonts w:eastAsia="Arial" w:cs="Arial"/>
          <w:szCs w:val="22"/>
          <w:lang w:val="es-ES"/>
        </w:rPr>
      </w:pPr>
      <w:r w:rsidRPr="003A7310">
        <w:rPr>
          <w:rFonts w:eastAsia="Arial" w:cs="Arial"/>
          <w:szCs w:val="22"/>
          <w:lang w:val="es-ES"/>
        </w:rPr>
        <w:t xml:space="preserve">La Secretaria Técnica explica la metodología que se siguió para la elaboración de dicho documento de planeación. En primer </w:t>
      </w:r>
      <w:r w:rsidR="00BE2EA5" w:rsidRPr="003A7310">
        <w:rPr>
          <w:rFonts w:eastAsia="Arial" w:cs="Arial"/>
          <w:szCs w:val="22"/>
          <w:lang w:val="es-ES"/>
        </w:rPr>
        <w:t>lugar,</w:t>
      </w:r>
      <w:r w:rsidRPr="003A7310">
        <w:rPr>
          <w:rFonts w:eastAsia="Arial" w:cs="Arial"/>
          <w:szCs w:val="22"/>
          <w:lang w:val="es-ES"/>
        </w:rPr>
        <w:t xml:space="preserve"> se realizó un comparativo entre los programas de trabajo de los años anteriores y de otros Comités Coordinadores de diferentes entidades federativas. Posteriormente, por medio de reuniones de trabajo con los Enlaces del Comité Coordinador y con los integrantes del Comité de Participación Social se detectaron preferencias y coincidencias con relación a los proyectos y actividades a desarrollar. Por último, se analizaron las obligaciones y facultades de los cuerpos colegiados y se clasificaron las actividades en dos categorías: “seguimiento” y nuevas”. </w:t>
      </w:r>
    </w:p>
    <w:p w14:paraId="3F4C925A" w14:textId="77777777" w:rsidR="003A7310" w:rsidRDefault="003A7310" w:rsidP="003A7310">
      <w:pPr>
        <w:tabs>
          <w:tab w:val="left" w:pos="2610"/>
        </w:tabs>
        <w:rPr>
          <w:rFonts w:eastAsia="Arial" w:cs="Arial"/>
          <w:szCs w:val="22"/>
          <w:lang w:val="es-ES"/>
        </w:rPr>
      </w:pPr>
    </w:p>
    <w:p w14:paraId="3C7C886B" w14:textId="69520374" w:rsidR="003A7310" w:rsidRPr="003A7310" w:rsidRDefault="003A7310" w:rsidP="003A7310">
      <w:pPr>
        <w:tabs>
          <w:tab w:val="left" w:pos="2610"/>
        </w:tabs>
        <w:rPr>
          <w:rFonts w:eastAsia="Arial" w:cs="Arial"/>
          <w:szCs w:val="22"/>
          <w:lang w:val="es-ES"/>
        </w:rPr>
      </w:pPr>
      <w:r w:rsidRPr="003A7310">
        <w:rPr>
          <w:rFonts w:eastAsia="Arial" w:cs="Arial"/>
          <w:szCs w:val="22"/>
          <w:lang w:val="es-ES"/>
        </w:rPr>
        <w:t xml:space="preserve">La Secretaria Técnica expone las actividades a realizar por núcleo temático. Con relación a la planeación y rendición de cuentas, se establecieron como actividades elaborar el borrador del PTA 2020 del Comité Coordinador y elaborar el borrador de Informe. Dentro de las actividades del núcleo de fortalecimiento del Sistema se incluyen preparar los documentos técnicos, auxiliar en la emisión y publicación de la convocatoria, organización logística, redactar los borradores de actas, publicarlas junto con los acuerdos y preparar los documentos y materiales que se presentan o sometan a aprobación; respecto a la coordinación interinstitucional, actualizar y presentar la propuesta de lineamientos para el desarrollo de las sesiones. Con relación a la capacitación, impartir los cursos "Introducción al SNA y SEAJAL" y "Llenado de los formatos de declaraciones patrimoniales y de intereses". Respecto a lo anterior, señala que se realizó una prueba con el personal de la SESAJ con resultados favorecedores en cuanto a la metodología implementada. Prosigue con los criterios metodológicos, para lo cual se propone recabar la opinión de especialistas e integrar las observaciones y la presentación de un borrador final y, por </w:t>
      </w:r>
      <w:r w:rsidR="00BE2EA5" w:rsidRPr="003A7310">
        <w:rPr>
          <w:rFonts w:eastAsia="Arial" w:cs="Arial"/>
          <w:szCs w:val="22"/>
          <w:lang w:val="es-ES"/>
        </w:rPr>
        <w:t>último,</w:t>
      </w:r>
      <w:r w:rsidRPr="003A7310">
        <w:rPr>
          <w:rFonts w:eastAsia="Arial" w:cs="Arial"/>
          <w:szCs w:val="22"/>
          <w:lang w:val="es-ES"/>
        </w:rPr>
        <w:t xml:space="preserve"> de ese núcleo, la propuesta y organización de las Jornadas 2020 Contra la Corrupción. En este punto, la Dra. Annel Vázquez Anderson considera que los cursos de capacitación deben ser didácticos y sencillos para tener mejor comprensión con respecto al contenido del mismo. </w:t>
      </w:r>
    </w:p>
    <w:p w14:paraId="05175CAE" w14:textId="77777777" w:rsidR="003A7310" w:rsidRDefault="003A7310" w:rsidP="003A7310">
      <w:pPr>
        <w:tabs>
          <w:tab w:val="left" w:pos="2610"/>
        </w:tabs>
        <w:rPr>
          <w:rFonts w:eastAsia="Arial" w:cs="Arial"/>
          <w:szCs w:val="22"/>
          <w:lang w:val="es-ES"/>
        </w:rPr>
      </w:pPr>
    </w:p>
    <w:p w14:paraId="108A4E63" w14:textId="77975EA8" w:rsidR="003A7310" w:rsidRPr="003A7310" w:rsidRDefault="003A7310" w:rsidP="003A7310">
      <w:pPr>
        <w:tabs>
          <w:tab w:val="left" w:pos="2610"/>
        </w:tabs>
        <w:rPr>
          <w:rFonts w:eastAsia="Arial" w:cs="Arial"/>
          <w:szCs w:val="22"/>
          <w:lang w:val="es-ES"/>
        </w:rPr>
      </w:pPr>
      <w:r w:rsidRPr="003A7310">
        <w:rPr>
          <w:rFonts w:eastAsia="Arial" w:cs="Arial"/>
          <w:szCs w:val="22"/>
          <w:lang w:val="es-ES"/>
        </w:rPr>
        <w:t xml:space="preserve">La Secretaria Técnica continúa con el núcleo de coordinación entre integrantes, donde se establece como parte de la coordinación interinstitucional formular el proyecto de "Bases y Principios" para establecer canales de comunicación entre los integrantes del Comité Coordinador. Respecto a las actividades de identidad institucional y comunicación externa para establecer los canales de comunicación con diversas instituciones, se plantea proponer y coordinar, mediante el Grupo de Comunicación, la difusión de mensajes institucionales, así como redactar las propuestas y presentarlas para autorización. Con relación a las plataformas informáticas, se plantea coordinar las reuniones de trabajo de los Grupos de Gobierno y de Contenidos, en donde resalta la participación de la Dra. Annel Vázquez Anderson. Sobre la relatoría de la Licitación Pública LPL 01/2019, menciona que se propone solicitar los informes e integrarla. Relativo a la capacitación en temas relacionados a los Sistemas Anticorrupción, se propone desarrollar una metodología y materiales complementarios para uso del Comité Coordinador. Para controlar las áreas de riesgo de corrupción se estableció elaborar el mapa del proceso, identificar los riesgos y proponer un plan de mitigación. </w:t>
      </w:r>
    </w:p>
    <w:p w14:paraId="1A073114" w14:textId="77777777" w:rsidR="003A7310" w:rsidRDefault="003A7310" w:rsidP="003A7310">
      <w:pPr>
        <w:tabs>
          <w:tab w:val="left" w:pos="2610"/>
        </w:tabs>
        <w:rPr>
          <w:rFonts w:eastAsia="Arial" w:cs="Arial"/>
          <w:szCs w:val="22"/>
          <w:lang w:val="es-ES"/>
        </w:rPr>
      </w:pPr>
    </w:p>
    <w:p w14:paraId="16D2B762" w14:textId="77777777" w:rsidR="003A7310" w:rsidRDefault="003A7310" w:rsidP="003A7310">
      <w:pPr>
        <w:tabs>
          <w:tab w:val="left" w:pos="2610"/>
        </w:tabs>
        <w:rPr>
          <w:rFonts w:eastAsia="Arial" w:cs="Arial"/>
          <w:szCs w:val="22"/>
          <w:lang w:val="es-ES"/>
        </w:rPr>
      </w:pPr>
      <w:r w:rsidRPr="003A7310">
        <w:rPr>
          <w:rFonts w:eastAsia="Arial" w:cs="Arial"/>
          <w:szCs w:val="22"/>
          <w:lang w:val="es-ES"/>
        </w:rPr>
        <w:t xml:space="preserve">Prosigue la Secretaria Técnica con las actividades para la coordinación con autoridades de fiscalización y control: elaborar y presentar la metodología para la interacción de los procesos de las instituciones de los integrantes del Comité Coordinador; adoptar el Protocolo de la Secretaría de la Función Pública de actuación con perspectiva de género en la investigación, sustanciación y resolución de quejas y denuncias de faltas administrativas y hechos de corrupción o desarrollar el propio, así como elaborar y proponer la ruta crítica de implementación. Con relación al Registro Estatal de Procedimientos de Responsabilidad Administrativa, se propone analizar la normativa y factibilidad tecnológica. </w:t>
      </w:r>
    </w:p>
    <w:p w14:paraId="0983BF7A" w14:textId="77777777" w:rsidR="003A7310" w:rsidRDefault="003A7310" w:rsidP="003A7310">
      <w:pPr>
        <w:tabs>
          <w:tab w:val="left" w:pos="2610"/>
        </w:tabs>
        <w:rPr>
          <w:rFonts w:eastAsia="Arial" w:cs="Arial"/>
          <w:szCs w:val="22"/>
          <w:lang w:val="es-ES"/>
        </w:rPr>
      </w:pPr>
    </w:p>
    <w:p w14:paraId="24EDD374" w14:textId="2CD1D922" w:rsidR="003A7310" w:rsidRPr="003A7310" w:rsidRDefault="003A7310" w:rsidP="003A7310">
      <w:pPr>
        <w:tabs>
          <w:tab w:val="left" w:pos="2610"/>
        </w:tabs>
        <w:rPr>
          <w:rFonts w:eastAsia="Arial" w:cs="Arial"/>
          <w:szCs w:val="22"/>
          <w:lang w:val="es-ES"/>
        </w:rPr>
      </w:pPr>
      <w:r w:rsidRPr="003A7310">
        <w:rPr>
          <w:rFonts w:eastAsia="Arial" w:cs="Arial"/>
          <w:szCs w:val="22"/>
          <w:lang w:val="es-ES"/>
        </w:rPr>
        <w:t xml:space="preserve">Respecto a promover la defensoría de oficio en los Procedimientos de Responsabilidad Administrativa y Penales, se plantea presentar opciones para la defensoría de oficio en la Presunta Responsabilidad Administrativa (PRA). Por último, se propone apoyar logísticamente en el envío y recepción de la información para encuestar a las tesorerías municipales de los 125 Municipios de Jalisco. </w:t>
      </w:r>
    </w:p>
    <w:p w14:paraId="4C95849C" w14:textId="77777777" w:rsidR="003A7310" w:rsidRDefault="003A7310" w:rsidP="003A7310">
      <w:pPr>
        <w:tabs>
          <w:tab w:val="left" w:pos="2610"/>
        </w:tabs>
        <w:rPr>
          <w:rFonts w:eastAsia="Arial" w:cs="Arial"/>
          <w:szCs w:val="22"/>
          <w:lang w:val="es-ES"/>
        </w:rPr>
      </w:pPr>
    </w:p>
    <w:p w14:paraId="52D5D86A" w14:textId="1E5561CC" w:rsidR="003A7310" w:rsidRPr="003A7310" w:rsidRDefault="003A7310" w:rsidP="003A7310">
      <w:pPr>
        <w:tabs>
          <w:tab w:val="left" w:pos="2610"/>
        </w:tabs>
        <w:rPr>
          <w:rFonts w:eastAsia="Arial" w:cs="Arial"/>
          <w:szCs w:val="22"/>
          <w:lang w:val="es-ES"/>
        </w:rPr>
      </w:pPr>
      <w:r w:rsidRPr="003A7310">
        <w:rPr>
          <w:rFonts w:eastAsia="Arial" w:cs="Arial"/>
          <w:szCs w:val="22"/>
          <w:lang w:val="es-ES"/>
        </w:rPr>
        <w:t xml:space="preserve">La Secretaria Técnica continúa con el núcleo temático de coordinación con los Sistemas Municipales Anticorrupción, en donde se estableció como parte de las actividades de coordinación interinstitucional organizar mesas de diálogo y elaborar una Ruta Crítica de colaboración. </w:t>
      </w:r>
    </w:p>
    <w:p w14:paraId="55F7FDB2" w14:textId="77777777" w:rsidR="003A7310" w:rsidRDefault="003A7310" w:rsidP="003A7310">
      <w:pPr>
        <w:tabs>
          <w:tab w:val="left" w:pos="2610"/>
        </w:tabs>
        <w:rPr>
          <w:rFonts w:eastAsia="Arial" w:cs="Arial"/>
          <w:szCs w:val="22"/>
          <w:lang w:val="es-ES"/>
        </w:rPr>
      </w:pPr>
    </w:p>
    <w:p w14:paraId="70DC3B16" w14:textId="0004504F" w:rsidR="003A7310" w:rsidRPr="003A7310" w:rsidRDefault="003A7310" w:rsidP="003A7310">
      <w:pPr>
        <w:tabs>
          <w:tab w:val="left" w:pos="2610"/>
        </w:tabs>
        <w:rPr>
          <w:rFonts w:eastAsia="Arial" w:cs="Arial"/>
          <w:szCs w:val="22"/>
          <w:lang w:val="es-ES"/>
        </w:rPr>
      </w:pPr>
      <w:r w:rsidRPr="003A7310">
        <w:rPr>
          <w:rFonts w:eastAsia="Arial" w:cs="Arial"/>
          <w:szCs w:val="22"/>
          <w:lang w:val="es-ES"/>
        </w:rPr>
        <w:t xml:space="preserve">La Secretaria Técnica explica las actividades que se establecen con relación a la elaboración de la Política Estatal Anticorrupción: precisar los criterios metodológicos; organizar el evento y recabar opiniones; formular la Propuesta; organizar una rueda de prensa para la presentación; preparar e implementar </w:t>
      </w:r>
      <w:r w:rsidR="00BE2EA5" w:rsidRPr="003A7310">
        <w:rPr>
          <w:rFonts w:eastAsia="Arial" w:cs="Arial"/>
          <w:szCs w:val="22"/>
          <w:lang w:val="es-ES"/>
        </w:rPr>
        <w:t>la campaña</w:t>
      </w:r>
      <w:r w:rsidRPr="003A7310">
        <w:rPr>
          <w:rFonts w:eastAsia="Arial" w:cs="Arial"/>
          <w:szCs w:val="22"/>
          <w:lang w:val="es-ES"/>
        </w:rPr>
        <w:t xml:space="preserve"> promocional de la propuesta; diseñar el instrumento de evaluación y sus lineamientos de aplicación. Con relación a una política pública de fortalecimiento de los OIC, realizar el diagnóstico de capacidades institucionales de los OIC; elaborar el Modelo de "Política de Integridad Institucional"; desarrollar u organizar e impartir los cursos de capacitación y elaborar un formato de reporte y un tablero de control de las revisiones, auditorías y evaluaciones. </w:t>
      </w:r>
    </w:p>
    <w:p w14:paraId="2EA4FC1F" w14:textId="77777777" w:rsidR="003A7310" w:rsidRDefault="003A7310" w:rsidP="003A7310">
      <w:pPr>
        <w:tabs>
          <w:tab w:val="left" w:pos="2610"/>
        </w:tabs>
        <w:rPr>
          <w:rFonts w:eastAsia="Arial" w:cs="Arial"/>
          <w:szCs w:val="22"/>
          <w:lang w:val="es-ES"/>
        </w:rPr>
      </w:pPr>
    </w:p>
    <w:p w14:paraId="4BD3C05D" w14:textId="41F5CE49" w:rsidR="003A7310" w:rsidRPr="003A7310" w:rsidRDefault="003A7310" w:rsidP="003A7310">
      <w:pPr>
        <w:tabs>
          <w:tab w:val="left" w:pos="2610"/>
        </w:tabs>
        <w:rPr>
          <w:rFonts w:eastAsia="Arial" w:cs="Arial"/>
          <w:szCs w:val="22"/>
          <w:lang w:val="es-ES"/>
        </w:rPr>
      </w:pPr>
      <w:r w:rsidRPr="003A7310">
        <w:rPr>
          <w:rFonts w:eastAsia="Arial" w:cs="Arial"/>
          <w:szCs w:val="22"/>
          <w:lang w:val="es-ES"/>
        </w:rPr>
        <w:t xml:space="preserve">Por último, la Secretaria Técnica expone las actividades </w:t>
      </w:r>
      <w:r w:rsidR="00BE2EA5" w:rsidRPr="003A7310">
        <w:rPr>
          <w:rFonts w:eastAsia="Arial" w:cs="Arial"/>
          <w:szCs w:val="22"/>
          <w:lang w:val="es-ES"/>
        </w:rPr>
        <w:t>a</w:t>
      </w:r>
      <w:r w:rsidRPr="003A7310">
        <w:rPr>
          <w:rFonts w:eastAsia="Arial" w:cs="Arial"/>
          <w:szCs w:val="22"/>
          <w:lang w:val="es-ES"/>
        </w:rPr>
        <w:t xml:space="preserve"> desarrollar en el núcleo de mecanismos para la gestión de la información: con relación a las plataformas informáticas, se establece asesorar a las instituciones de los integrantes del Comité Coordinador para la puesta a punto de sus sistemas y realizar pruebas de interoperabilidad con la PDN de la SESNA. </w:t>
      </w:r>
    </w:p>
    <w:p w14:paraId="7BA4ED10" w14:textId="77777777" w:rsidR="003A7310" w:rsidRDefault="003A7310" w:rsidP="003A7310">
      <w:pPr>
        <w:tabs>
          <w:tab w:val="left" w:pos="2610"/>
        </w:tabs>
        <w:rPr>
          <w:rFonts w:eastAsia="Arial" w:cs="Arial"/>
          <w:szCs w:val="22"/>
          <w:lang w:val="es-ES"/>
        </w:rPr>
      </w:pPr>
    </w:p>
    <w:p w14:paraId="158795EA" w14:textId="0A691059" w:rsidR="003A7310" w:rsidRPr="003A7310" w:rsidRDefault="003A7310" w:rsidP="003A7310">
      <w:pPr>
        <w:tabs>
          <w:tab w:val="left" w:pos="2610"/>
        </w:tabs>
        <w:rPr>
          <w:rFonts w:eastAsia="Arial" w:cs="Arial"/>
          <w:szCs w:val="22"/>
          <w:lang w:val="es-ES"/>
        </w:rPr>
      </w:pPr>
      <w:r w:rsidRPr="003A7310">
        <w:rPr>
          <w:rFonts w:eastAsia="Arial" w:cs="Arial"/>
          <w:szCs w:val="22"/>
          <w:lang w:val="es-ES"/>
        </w:rPr>
        <w:t xml:space="preserve">Con relación a la coordinación interinstitucional para establecer los canales de comunicación con los integrantes del Comité Coordinador, se propone realizar una campaña de difusión de mensajes, elaborar una propuesta de ruta crítica y preparar un esquema de entrega y tablero de control con el estado de la implementación de los sistemas y su interconexión con la Plataforma Digital Nacional. Impartir los cursos de capacitación sobre los nuevos formatos de declaraciones patrimoniales y de intereses. Respecto a publicar los Datos Abiertos Anticorrupción Prioritarios, se propone elaborar una propuesta de Ruta Crítica, asesorar técnicamente y brindar apoyo logístico, preparar una campaña de difusión, elaborar la propuesta de convenio y organizar la celebración de los que correspondan. Por último, nuevamente sobre plataformas informáticas: elaborar el flujo del proceso para el suministro e intercambio de información de las instituciones, validado y aprobado por los integrantes del Comité Coordinador y formular el estándar de datos, así como verificar la interoperabilidad. </w:t>
      </w:r>
    </w:p>
    <w:p w14:paraId="6032B160" w14:textId="77777777" w:rsidR="003A7310" w:rsidRDefault="003A7310" w:rsidP="003A7310">
      <w:pPr>
        <w:tabs>
          <w:tab w:val="left" w:pos="2610"/>
        </w:tabs>
        <w:rPr>
          <w:rFonts w:eastAsia="Arial" w:cs="Arial"/>
          <w:szCs w:val="22"/>
          <w:lang w:val="es-ES"/>
        </w:rPr>
      </w:pPr>
    </w:p>
    <w:p w14:paraId="0D8EFB97" w14:textId="01276AA3" w:rsidR="003A7310" w:rsidRPr="003A7310" w:rsidRDefault="003A7310" w:rsidP="003A7310">
      <w:pPr>
        <w:tabs>
          <w:tab w:val="left" w:pos="2610"/>
        </w:tabs>
        <w:rPr>
          <w:rFonts w:eastAsia="Arial" w:cs="Arial"/>
          <w:szCs w:val="22"/>
          <w:lang w:val="es-ES"/>
        </w:rPr>
      </w:pPr>
      <w:r w:rsidRPr="003A7310">
        <w:rPr>
          <w:rFonts w:eastAsia="Arial" w:cs="Arial"/>
          <w:szCs w:val="22"/>
          <w:lang w:val="es-ES"/>
        </w:rPr>
        <w:t xml:space="preserve">La Secretaria Técnica consulta si existe algún comentario al respecto. Por su parte, el Dr. David Gómez Álvarez considera que es una buena herramienta para medir los resultados de los órganos colegiados que integran el sistema, y que a futuro se pueden desarrollar mecanismos que incluyan indicadores de medición. </w:t>
      </w:r>
    </w:p>
    <w:p w14:paraId="04AB14E2" w14:textId="77777777" w:rsidR="003A7310" w:rsidRDefault="003A7310" w:rsidP="003A7310">
      <w:pPr>
        <w:tabs>
          <w:tab w:val="left" w:pos="2610"/>
        </w:tabs>
        <w:rPr>
          <w:rFonts w:eastAsia="Arial" w:cs="Arial"/>
          <w:szCs w:val="22"/>
          <w:lang w:val="es-ES"/>
        </w:rPr>
      </w:pPr>
    </w:p>
    <w:p w14:paraId="4FC85C35" w14:textId="6E900755" w:rsidR="00CD0D2D" w:rsidRDefault="003A7310" w:rsidP="003A7310">
      <w:pPr>
        <w:tabs>
          <w:tab w:val="left" w:pos="2610"/>
        </w:tabs>
        <w:rPr>
          <w:rFonts w:eastAsia="Arial" w:cs="Arial"/>
          <w:szCs w:val="22"/>
          <w:lang w:val="es-ES"/>
        </w:rPr>
      </w:pPr>
      <w:r w:rsidRPr="003A7310">
        <w:rPr>
          <w:rFonts w:eastAsia="Arial" w:cs="Arial"/>
          <w:szCs w:val="22"/>
          <w:lang w:val="es-ES"/>
        </w:rPr>
        <w:t>Asimismo, el Dr. Jesús Ibarra coincide y agrega que dicho producto es la guía para que no solo al interior del Sistema sepan qué se hará, sino también para el conocimiento de la ciudadanía sobre qué es lo que cada instancia realizará. Al no haber más comentarios, la Secretaria Técnica continúa con el siguiente punto.</w:t>
      </w:r>
      <w:r w:rsidR="00CD0D2D">
        <w:rPr>
          <w:rFonts w:eastAsia="Arial" w:cs="Arial"/>
          <w:szCs w:val="22"/>
          <w:lang w:val="es-ES"/>
        </w:rPr>
        <w:tab/>
      </w:r>
    </w:p>
    <w:p w14:paraId="26763BB8" w14:textId="1D1E6E00" w:rsidR="009E23BD" w:rsidRDefault="009E23BD" w:rsidP="003A7310">
      <w:pPr>
        <w:tabs>
          <w:tab w:val="left" w:pos="2610"/>
        </w:tabs>
        <w:rPr>
          <w:rFonts w:eastAsia="Arial" w:cs="Arial"/>
          <w:szCs w:val="22"/>
          <w:lang w:val="es-ES"/>
        </w:rPr>
      </w:pPr>
    </w:p>
    <w:p w14:paraId="336EC98C" w14:textId="3C36C7A4" w:rsidR="006848EE" w:rsidRDefault="006848EE" w:rsidP="003A7310">
      <w:pPr>
        <w:tabs>
          <w:tab w:val="left" w:pos="2610"/>
        </w:tabs>
        <w:rPr>
          <w:rFonts w:eastAsia="Arial" w:cs="Arial"/>
          <w:szCs w:val="22"/>
          <w:lang w:val="es-ES"/>
        </w:rPr>
      </w:pPr>
    </w:p>
    <w:p w14:paraId="1C95B8DF" w14:textId="36E1F1C5" w:rsidR="006848EE" w:rsidRDefault="006848EE" w:rsidP="003A7310">
      <w:pPr>
        <w:tabs>
          <w:tab w:val="left" w:pos="2610"/>
        </w:tabs>
        <w:rPr>
          <w:rFonts w:eastAsia="Arial" w:cs="Arial"/>
          <w:szCs w:val="22"/>
          <w:lang w:val="es-ES"/>
        </w:rPr>
      </w:pPr>
    </w:p>
    <w:p w14:paraId="1504D33C" w14:textId="77777777" w:rsidR="006848EE" w:rsidRDefault="006848EE" w:rsidP="003A7310">
      <w:pPr>
        <w:tabs>
          <w:tab w:val="left" w:pos="2610"/>
        </w:tabs>
        <w:rPr>
          <w:rFonts w:eastAsia="Arial" w:cs="Arial"/>
          <w:szCs w:val="22"/>
          <w:lang w:val="es-ES"/>
        </w:rPr>
      </w:pPr>
    </w:p>
    <w:p w14:paraId="0234F80B" w14:textId="6BD6507A" w:rsidR="003F495D" w:rsidRPr="003F495D" w:rsidRDefault="003F495D" w:rsidP="003F495D">
      <w:pPr>
        <w:pStyle w:val="Prrafodelista"/>
        <w:numPr>
          <w:ilvl w:val="0"/>
          <w:numId w:val="7"/>
        </w:numPr>
        <w:rPr>
          <w:rFonts w:eastAsia="Arial" w:cs="Arial"/>
          <w:b/>
          <w:bCs/>
          <w:color w:val="006078"/>
          <w:szCs w:val="22"/>
        </w:rPr>
      </w:pPr>
      <w:r w:rsidRPr="003F495D">
        <w:rPr>
          <w:rFonts w:eastAsia="Arial" w:cs="Arial"/>
          <w:b/>
          <w:bCs/>
          <w:color w:val="006078"/>
          <w:szCs w:val="22"/>
        </w:rPr>
        <w:t>Propuesta y, en su caso, aprobación de la estructura y contenido del Informe de Actividades 2019-2020 del Comité Coordinador (avance)</w:t>
      </w:r>
    </w:p>
    <w:p w14:paraId="3F521EFB" w14:textId="77777777" w:rsidR="00CD0D2D" w:rsidRDefault="00CD0D2D" w:rsidP="00CD0D2D">
      <w:pPr>
        <w:pStyle w:val="Prrafodelista"/>
        <w:jc w:val="both"/>
        <w:rPr>
          <w:rFonts w:eastAsia="Arial" w:cs="Arial"/>
          <w:szCs w:val="22"/>
          <w:highlight w:val="white"/>
        </w:rPr>
      </w:pPr>
    </w:p>
    <w:p w14:paraId="6E65BDDC" w14:textId="7D85D593" w:rsidR="006848EE" w:rsidRDefault="006848EE" w:rsidP="006848EE">
      <w:pPr>
        <w:tabs>
          <w:tab w:val="left" w:pos="2610"/>
        </w:tabs>
        <w:rPr>
          <w:rFonts w:eastAsia="Arial" w:cs="Arial"/>
          <w:szCs w:val="22"/>
          <w:lang w:val="es-ES"/>
        </w:rPr>
      </w:pPr>
      <w:r w:rsidRPr="006848EE">
        <w:rPr>
          <w:rFonts w:eastAsia="Arial" w:cs="Arial"/>
          <w:szCs w:val="22"/>
          <w:lang w:val="es-ES"/>
        </w:rPr>
        <w:t xml:space="preserve">La Secretaria Técnica resalta que se les hizo llegar con anterioridad la propuesta de estructura y contenido del Informe 2019-2020 del Comité Coordinador, para dar cumplimiento a las facultades previstas en el artículo 20, fracción IX del Estatuto Orgánico de la Secretaría Ejecutiva. Con relación al numeral 8.1 fracción VIII de la Ley del Sistema Anticorrupción del Estado de Jalisco, es necesario que esta Comisión defina cuál debe ser la estructura y contenido del informe anual que debe emitir el Comité Coordinador que contenga los avances y resultados del ejercicio de sus funciones. </w:t>
      </w:r>
    </w:p>
    <w:p w14:paraId="2667F745" w14:textId="77777777" w:rsidR="006848EE" w:rsidRPr="006848EE" w:rsidRDefault="006848EE" w:rsidP="006848EE">
      <w:pPr>
        <w:tabs>
          <w:tab w:val="left" w:pos="2610"/>
        </w:tabs>
        <w:rPr>
          <w:rFonts w:eastAsia="Arial" w:cs="Arial"/>
          <w:szCs w:val="22"/>
          <w:lang w:val="es-ES"/>
        </w:rPr>
      </w:pPr>
    </w:p>
    <w:p w14:paraId="50318241" w14:textId="125F5B7F" w:rsidR="006848EE" w:rsidRDefault="006848EE" w:rsidP="006848EE">
      <w:pPr>
        <w:tabs>
          <w:tab w:val="left" w:pos="2610"/>
        </w:tabs>
        <w:rPr>
          <w:rFonts w:eastAsia="Arial" w:cs="Arial"/>
          <w:szCs w:val="22"/>
          <w:lang w:val="es-ES"/>
        </w:rPr>
      </w:pPr>
      <w:r w:rsidRPr="006848EE">
        <w:rPr>
          <w:rFonts w:eastAsia="Arial" w:cs="Arial"/>
          <w:szCs w:val="22"/>
          <w:lang w:val="es-ES"/>
        </w:rPr>
        <w:t xml:space="preserve">La Secretaria Técnica propone que los informes que emita el Comité Coordinador se homologuen con los periodos de la Presidencia del Comité de Participación Social, tomando en consideración el artículo 11, fracción VIII y IX de la LSAEJ, y del artículo 44 numeral 4, que establece que dicho informe deberá ser aprobado como máximo 30 días previos a que culmine el periodo anual de la Presidencia. </w:t>
      </w:r>
    </w:p>
    <w:p w14:paraId="6F45CA9C" w14:textId="77777777" w:rsidR="006848EE" w:rsidRPr="006848EE" w:rsidRDefault="006848EE" w:rsidP="006848EE">
      <w:pPr>
        <w:tabs>
          <w:tab w:val="left" w:pos="2610"/>
        </w:tabs>
        <w:rPr>
          <w:rFonts w:eastAsia="Arial" w:cs="Arial"/>
          <w:szCs w:val="22"/>
          <w:lang w:val="es-ES"/>
        </w:rPr>
      </w:pPr>
    </w:p>
    <w:p w14:paraId="165ECFA8" w14:textId="637ABAB5" w:rsidR="006848EE" w:rsidRDefault="006848EE" w:rsidP="006848EE">
      <w:pPr>
        <w:tabs>
          <w:tab w:val="left" w:pos="2610"/>
        </w:tabs>
        <w:rPr>
          <w:rFonts w:eastAsia="Arial" w:cs="Arial"/>
          <w:szCs w:val="22"/>
          <w:lang w:val="es-ES"/>
        </w:rPr>
      </w:pPr>
      <w:r w:rsidRPr="006848EE">
        <w:rPr>
          <w:rFonts w:eastAsia="Arial" w:cs="Arial"/>
          <w:szCs w:val="22"/>
          <w:lang w:val="es-ES"/>
        </w:rPr>
        <w:t xml:space="preserve">Por lo anterior, la Secretaria Técnica sugiere que se proponga por parte de esta Comisión Ejecutiva al Comité Coordinador, que el documento presentado sea un avance, que se completaría antes de que culmine la Presidencia de la Dra. Lucía Almaraz Cazarez y, a partir de ello, serían anuales e irían homologados con sus respectivas Presidencias. Uno de los factores para dicha propuesta destaca que es que actualmente se hace un informe con actividades que, en su mayoría, se realizaron con la Presidencia anterior. </w:t>
      </w:r>
    </w:p>
    <w:p w14:paraId="76598B4A" w14:textId="77777777" w:rsidR="006848EE" w:rsidRPr="006848EE" w:rsidRDefault="006848EE" w:rsidP="006848EE">
      <w:pPr>
        <w:tabs>
          <w:tab w:val="left" w:pos="2610"/>
        </w:tabs>
        <w:rPr>
          <w:rFonts w:eastAsia="Arial" w:cs="Arial"/>
          <w:szCs w:val="22"/>
          <w:lang w:val="es-ES"/>
        </w:rPr>
      </w:pPr>
    </w:p>
    <w:p w14:paraId="4E5123EA" w14:textId="64419868" w:rsidR="006848EE" w:rsidRDefault="006848EE" w:rsidP="006848EE">
      <w:pPr>
        <w:tabs>
          <w:tab w:val="left" w:pos="2610"/>
        </w:tabs>
        <w:rPr>
          <w:rFonts w:eastAsia="Arial" w:cs="Arial"/>
          <w:szCs w:val="22"/>
          <w:lang w:val="es-ES"/>
        </w:rPr>
      </w:pPr>
      <w:r w:rsidRPr="006848EE">
        <w:rPr>
          <w:rFonts w:eastAsia="Arial" w:cs="Arial"/>
          <w:szCs w:val="22"/>
          <w:lang w:val="es-ES"/>
        </w:rPr>
        <w:t xml:space="preserve">La Secretaria Técnica consulta si existe algún comentario al respecto. Al no haberlos, somete a aprobación el siguiente acuerdo y es aprobado por los presentes: </w:t>
      </w:r>
    </w:p>
    <w:p w14:paraId="4380B7CE" w14:textId="77777777" w:rsidR="006848EE" w:rsidRPr="006848EE" w:rsidRDefault="006848EE" w:rsidP="006848EE">
      <w:pPr>
        <w:tabs>
          <w:tab w:val="left" w:pos="2610"/>
        </w:tabs>
        <w:rPr>
          <w:rFonts w:eastAsia="Arial" w:cs="Arial"/>
          <w:szCs w:val="22"/>
          <w:lang w:val="es-ES"/>
        </w:rPr>
      </w:pPr>
    </w:p>
    <w:p w14:paraId="34281B4B" w14:textId="3C183480" w:rsidR="00CD0D2D" w:rsidRDefault="006848EE" w:rsidP="006848EE">
      <w:pPr>
        <w:tabs>
          <w:tab w:val="left" w:pos="2610"/>
        </w:tabs>
        <w:rPr>
          <w:rFonts w:eastAsia="Arial" w:cs="Arial"/>
          <w:szCs w:val="22"/>
          <w:lang w:val="es-ES"/>
        </w:rPr>
      </w:pPr>
      <w:r w:rsidRPr="006848EE">
        <w:rPr>
          <w:rFonts w:eastAsia="Arial" w:cs="Arial"/>
          <w:szCs w:val="22"/>
          <w:lang w:val="es-ES"/>
        </w:rPr>
        <w:t xml:space="preserve">Se aprueba la propuesta de estructura y contenido del avance de Informe de Actividades 2019-2020 del Comité Coordinador. </w:t>
      </w:r>
      <w:r w:rsidR="00CD0D2D" w:rsidRPr="00CD0D2D">
        <w:rPr>
          <w:rFonts w:eastAsia="Arial" w:cs="Arial"/>
          <w:szCs w:val="22"/>
          <w:lang w:val="es-ES"/>
        </w:rPr>
        <w:t xml:space="preserve"> </w:t>
      </w:r>
    </w:p>
    <w:p w14:paraId="07A2E41A" w14:textId="77777777" w:rsidR="006848EE" w:rsidRPr="00CD0D2D" w:rsidRDefault="006848EE" w:rsidP="006848EE">
      <w:pPr>
        <w:tabs>
          <w:tab w:val="left" w:pos="2610"/>
        </w:tabs>
        <w:rPr>
          <w:rFonts w:eastAsia="Arial" w:cs="Arial"/>
          <w:szCs w:val="22"/>
          <w:lang w:val="es-ES"/>
        </w:rPr>
      </w:pPr>
    </w:p>
    <w:p w14:paraId="701949D7" w14:textId="42A75C02" w:rsidR="00D6293B" w:rsidRPr="00D6293B" w:rsidRDefault="00D6293B" w:rsidP="00D6293B">
      <w:pPr>
        <w:pStyle w:val="Prrafodelista"/>
        <w:numPr>
          <w:ilvl w:val="0"/>
          <w:numId w:val="7"/>
        </w:numPr>
        <w:rPr>
          <w:rFonts w:eastAsia="Arial" w:cs="Arial"/>
          <w:b/>
          <w:bCs/>
          <w:color w:val="006078"/>
          <w:szCs w:val="22"/>
        </w:rPr>
      </w:pPr>
      <w:r w:rsidRPr="00D6293B">
        <w:rPr>
          <w:rFonts w:eastAsia="Arial" w:cs="Arial"/>
          <w:b/>
          <w:bCs/>
          <w:color w:val="006078"/>
          <w:szCs w:val="22"/>
        </w:rPr>
        <w:t>Integración de la Propuesta de Política Estatal Anticorrupción (seguimiento)</w:t>
      </w:r>
    </w:p>
    <w:p w14:paraId="24934FF8" w14:textId="77329A4A" w:rsidR="00D6293B" w:rsidRDefault="00D6293B" w:rsidP="00D6293B">
      <w:pPr>
        <w:tabs>
          <w:tab w:val="left" w:pos="2610"/>
        </w:tabs>
        <w:rPr>
          <w:rFonts w:eastAsia="Arial" w:cs="Arial"/>
          <w:b/>
          <w:bCs/>
          <w:color w:val="006078"/>
          <w:szCs w:val="22"/>
        </w:rPr>
      </w:pPr>
    </w:p>
    <w:p w14:paraId="2CC80E70" w14:textId="7B35819E" w:rsidR="00FF1379" w:rsidRPr="00024594" w:rsidRDefault="00FF1379" w:rsidP="00FF1379">
      <w:pPr>
        <w:tabs>
          <w:tab w:val="left" w:pos="2610"/>
        </w:tabs>
        <w:rPr>
          <w:rFonts w:eastAsia="Arial" w:cs="Arial"/>
          <w:szCs w:val="22"/>
          <w:lang w:val="es-ES"/>
        </w:rPr>
      </w:pPr>
      <w:r w:rsidRPr="00024594">
        <w:rPr>
          <w:rFonts w:eastAsia="Arial" w:cs="Arial"/>
          <w:szCs w:val="22"/>
          <w:lang w:val="es-ES"/>
        </w:rPr>
        <w:t xml:space="preserve">La Secretaria Técnica menciona que uno de los cinco proyectos estratégicos a desarrollar en 2020 es la elaboración de la Propuesta de Política Estatal Anticorrupción y que, como es de su conocimiento, se iniciaron los trabajos desde 2019, y </w:t>
      </w:r>
      <w:r w:rsidR="00BE2EA5" w:rsidRPr="00024594">
        <w:rPr>
          <w:rFonts w:eastAsia="Arial" w:cs="Arial"/>
          <w:szCs w:val="22"/>
          <w:lang w:val="es-ES"/>
        </w:rPr>
        <w:t>ha</w:t>
      </w:r>
      <w:r w:rsidRPr="00024594">
        <w:rPr>
          <w:rFonts w:eastAsia="Arial" w:cs="Arial"/>
          <w:szCs w:val="22"/>
          <w:lang w:val="es-ES"/>
        </w:rPr>
        <w:t xml:space="preserve"> habido ajustes respecto a los plazos establecidos en principio. Sin embargo, destaca que actualmente está en proceso realizar las “Consultas Regionales”, cuyo objetivo es integrar a la Propuesta de Política Estatal Anticorrupción las diversas opiniones sobre las causas y las posibles estrategias de disuasión y control de la corrupción por parte de la población y servidores públicos de Jalisco.</w:t>
      </w:r>
    </w:p>
    <w:p w14:paraId="11DE983C" w14:textId="77777777" w:rsidR="00FF1379" w:rsidRPr="00024594" w:rsidRDefault="00FF1379" w:rsidP="00FF1379">
      <w:pPr>
        <w:tabs>
          <w:tab w:val="left" w:pos="2610"/>
        </w:tabs>
        <w:rPr>
          <w:rFonts w:eastAsia="Arial" w:cs="Arial"/>
          <w:szCs w:val="22"/>
          <w:lang w:val="es-ES"/>
        </w:rPr>
      </w:pPr>
    </w:p>
    <w:p w14:paraId="2382FC75" w14:textId="77777777" w:rsidR="00FF1379" w:rsidRPr="00024594" w:rsidRDefault="00FF1379" w:rsidP="00FF1379">
      <w:pPr>
        <w:tabs>
          <w:tab w:val="left" w:pos="2610"/>
        </w:tabs>
        <w:rPr>
          <w:rFonts w:eastAsia="Arial" w:cs="Arial"/>
          <w:szCs w:val="22"/>
          <w:lang w:val="es-ES"/>
        </w:rPr>
      </w:pPr>
      <w:r w:rsidRPr="00024594">
        <w:rPr>
          <w:rFonts w:eastAsia="Arial" w:cs="Arial"/>
          <w:szCs w:val="22"/>
          <w:lang w:val="es-ES"/>
        </w:rPr>
        <w:t xml:space="preserve">Bajo esta tesitura, puntualiza que dicha actividad se ha desarrollado en colaboración con aliados estratégicos: Secretaría de Planeación y Participación Ciudadana del Poder Ejecutivo; la Cámara Mexicana de la Industria de la Construcción, Capítulo Jalisco; la Cámara de Comercio de Guadalajara; COPARMEX Jalisco y la Universidad de Guadalajara, las cuales han sido de gran apoyo en cuanto a los espacios donde se desarrollarán las 15 consultas: 12 en cada una de las sedes de las regiones y 3 más en la región centro. </w:t>
      </w:r>
    </w:p>
    <w:p w14:paraId="731BD2FE" w14:textId="77777777" w:rsidR="00FF1379" w:rsidRPr="00024594" w:rsidRDefault="00FF1379" w:rsidP="00FF1379">
      <w:pPr>
        <w:tabs>
          <w:tab w:val="left" w:pos="2610"/>
        </w:tabs>
        <w:rPr>
          <w:rFonts w:eastAsia="Arial" w:cs="Arial"/>
          <w:szCs w:val="22"/>
          <w:lang w:val="es-ES"/>
        </w:rPr>
      </w:pPr>
    </w:p>
    <w:p w14:paraId="0D7A46D9" w14:textId="77777777" w:rsidR="00FF1379" w:rsidRPr="00024594" w:rsidRDefault="00FF1379" w:rsidP="00FF1379">
      <w:pPr>
        <w:tabs>
          <w:tab w:val="left" w:pos="2610"/>
        </w:tabs>
        <w:rPr>
          <w:rFonts w:eastAsia="Arial" w:cs="Arial"/>
          <w:szCs w:val="22"/>
          <w:lang w:val="es-ES"/>
        </w:rPr>
      </w:pPr>
      <w:r w:rsidRPr="00024594">
        <w:rPr>
          <w:rFonts w:eastAsia="Arial" w:cs="Arial"/>
          <w:szCs w:val="22"/>
          <w:lang w:val="es-ES"/>
        </w:rPr>
        <w:t xml:space="preserve">La Secretaria Técnica cede el uso de la voz a Oscar González, Subdirector de Diseño, Seguimiento y Evaluación, quien explica que la realización de las consultas regionales es un ejercicio que pretende, entre otras cosas, lograr tener un acercamiento con las necesidades de cada una de las regiones del Estado, en donde se hará un levantamiento de información relacionada a la percepción que tienen los ciudadanos sobre las causas del problema de la corrupción y cuáles son sus preferencias en cuanto a las estrategias para solucionarlo. </w:t>
      </w:r>
    </w:p>
    <w:p w14:paraId="26FCADF4" w14:textId="77777777" w:rsidR="00FF1379" w:rsidRPr="00024594" w:rsidRDefault="00FF1379" w:rsidP="00FF1379">
      <w:pPr>
        <w:tabs>
          <w:tab w:val="left" w:pos="2610"/>
        </w:tabs>
        <w:rPr>
          <w:rFonts w:eastAsia="Arial" w:cs="Arial"/>
          <w:szCs w:val="22"/>
          <w:lang w:val="es-ES"/>
        </w:rPr>
      </w:pPr>
    </w:p>
    <w:p w14:paraId="46AA292E" w14:textId="77777777" w:rsidR="00FF1379" w:rsidRPr="00024594" w:rsidRDefault="00FF1379" w:rsidP="00FF1379">
      <w:pPr>
        <w:tabs>
          <w:tab w:val="left" w:pos="2610"/>
        </w:tabs>
        <w:rPr>
          <w:rFonts w:eastAsia="Arial" w:cs="Arial"/>
          <w:szCs w:val="22"/>
          <w:lang w:val="es-ES"/>
        </w:rPr>
      </w:pPr>
      <w:r w:rsidRPr="00024594">
        <w:rPr>
          <w:rFonts w:eastAsia="Arial" w:cs="Arial"/>
          <w:szCs w:val="22"/>
          <w:lang w:val="es-ES"/>
        </w:rPr>
        <w:t>Asimismo, González resalta que a partir de la aprobación de la Política Nacional Anticorrupción se realizó un análisis comparativo de prioridades entre 2019 y 2020, con el objetivo de actualizar las prioridades del Comité Coordinador y la Comisión Ejecutiva. De igual manera, la selección de prioridades de la PNA es de relevancia para identificar causalidades en la construcción del árbol de problemas de la PEA, permitiendo focalizar esfuerzos en la problematización, diagnóstico y asignación de responsabilidades en la determinación de acciones anticorrupción.</w:t>
      </w:r>
    </w:p>
    <w:p w14:paraId="08FAA4C1" w14:textId="77777777" w:rsidR="00FF1379" w:rsidRPr="00024594" w:rsidRDefault="00FF1379" w:rsidP="00FF1379">
      <w:pPr>
        <w:tabs>
          <w:tab w:val="left" w:pos="2610"/>
        </w:tabs>
        <w:rPr>
          <w:rFonts w:eastAsia="Arial" w:cs="Arial"/>
          <w:szCs w:val="22"/>
          <w:lang w:val="es-ES"/>
        </w:rPr>
      </w:pPr>
    </w:p>
    <w:p w14:paraId="6B560C3B" w14:textId="128F27D4" w:rsidR="00D6293B" w:rsidRPr="00024594" w:rsidRDefault="00FF1379" w:rsidP="00FF1379">
      <w:pPr>
        <w:tabs>
          <w:tab w:val="left" w:pos="2610"/>
        </w:tabs>
        <w:rPr>
          <w:rFonts w:eastAsia="Arial" w:cs="Arial"/>
          <w:szCs w:val="22"/>
          <w:lang w:val="es-ES"/>
        </w:rPr>
      </w:pPr>
      <w:r w:rsidRPr="00024594">
        <w:rPr>
          <w:rFonts w:eastAsia="Arial" w:cs="Arial"/>
          <w:szCs w:val="22"/>
          <w:lang w:val="es-ES"/>
        </w:rPr>
        <w:t>Por su parte, la Secretaria Técnica solicita se circule el calendario de las consultas regionales, en donde señala que por parte de la Presidenta del Comité de Participación Social estará asistiendo a algunas de las sedes, y les extiende la invitación para participar en el desarrollo de dichas consultas.</w:t>
      </w:r>
    </w:p>
    <w:p w14:paraId="6E112C80" w14:textId="23E50B4F" w:rsidR="00D6293B" w:rsidRPr="00024594" w:rsidRDefault="00D6293B" w:rsidP="00D6293B">
      <w:pPr>
        <w:tabs>
          <w:tab w:val="left" w:pos="2610"/>
        </w:tabs>
        <w:rPr>
          <w:rFonts w:eastAsia="Arial" w:cs="Arial"/>
          <w:szCs w:val="22"/>
          <w:lang w:val="es-ES"/>
        </w:rPr>
      </w:pPr>
    </w:p>
    <w:p w14:paraId="5661E3BC" w14:textId="56E4109B" w:rsidR="00B95E66" w:rsidRDefault="00B95E66" w:rsidP="00B95E66">
      <w:pPr>
        <w:pStyle w:val="Prrafodelista"/>
        <w:numPr>
          <w:ilvl w:val="0"/>
          <w:numId w:val="7"/>
        </w:numPr>
        <w:tabs>
          <w:tab w:val="left" w:pos="2610"/>
        </w:tabs>
        <w:rPr>
          <w:rFonts w:eastAsia="Arial" w:cs="Arial"/>
          <w:b/>
          <w:bCs/>
          <w:color w:val="006078"/>
          <w:szCs w:val="22"/>
        </w:rPr>
      </w:pPr>
      <w:r w:rsidRPr="00B95E66">
        <w:rPr>
          <w:rFonts w:eastAsia="Arial" w:cs="Arial"/>
          <w:b/>
          <w:bCs/>
          <w:color w:val="006078"/>
          <w:szCs w:val="22"/>
        </w:rPr>
        <w:t>Asuntos generales</w:t>
      </w:r>
    </w:p>
    <w:p w14:paraId="10F47B79" w14:textId="463FA24A" w:rsidR="00B95E66" w:rsidRDefault="00B95E66" w:rsidP="00B95E66">
      <w:pPr>
        <w:tabs>
          <w:tab w:val="left" w:pos="2610"/>
        </w:tabs>
        <w:rPr>
          <w:rFonts w:eastAsia="Arial" w:cs="Arial"/>
          <w:b/>
          <w:bCs/>
          <w:color w:val="006078"/>
          <w:szCs w:val="22"/>
        </w:rPr>
      </w:pPr>
    </w:p>
    <w:p w14:paraId="5B2EA21C" w14:textId="77777777" w:rsidR="0054424E" w:rsidRPr="0054424E" w:rsidRDefault="0054424E" w:rsidP="0054424E">
      <w:pPr>
        <w:tabs>
          <w:tab w:val="left" w:pos="2610"/>
        </w:tabs>
        <w:rPr>
          <w:rFonts w:eastAsia="Arial" w:cs="Arial"/>
          <w:szCs w:val="22"/>
          <w:lang w:val="es-ES"/>
        </w:rPr>
      </w:pPr>
      <w:r w:rsidRPr="0054424E">
        <w:rPr>
          <w:rFonts w:eastAsia="Arial" w:cs="Arial"/>
          <w:szCs w:val="22"/>
          <w:lang w:val="es-ES"/>
        </w:rPr>
        <w:t xml:space="preserve">La Secretaria Técnica les recuerda que la Segunda Sesión Ordinaria está calendarizada para el 14 de abril, dentro de la Semana de Pascua, por lo que somete a consideración de los presentes si se mantiene dicha fecha. </w:t>
      </w:r>
    </w:p>
    <w:p w14:paraId="270DFC31" w14:textId="77777777" w:rsidR="0054424E" w:rsidRPr="0054424E" w:rsidRDefault="0054424E" w:rsidP="0054424E">
      <w:pPr>
        <w:tabs>
          <w:tab w:val="left" w:pos="2610"/>
        </w:tabs>
        <w:rPr>
          <w:rFonts w:eastAsia="Arial" w:cs="Arial"/>
          <w:szCs w:val="22"/>
          <w:lang w:val="es-ES"/>
        </w:rPr>
      </w:pPr>
    </w:p>
    <w:p w14:paraId="1241DAE9" w14:textId="5E90AC7B" w:rsidR="00B95E66" w:rsidRPr="0054424E" w:rsidRDefault="0054424E" w:rsidP="0054424E">
      <w:pPr>
        <w:tabs>
          <w:tab w:val="left" w:pos="2610"/>
        </w:tabs>
        <w:rPr>
          <w:rFonts w:eastAsia="Arial" w:cs="Arial"/>
          <w:szCs w:val="22"/>
          <w:lang w:val="es-ES"/>
        </w:rPr>
      </w:pPr>
      <w:r w:rsidRPr="0054424E">
        <w:rPr>
          <w:rFonts w:eastAsia="Arial" w:cs="Arial"/>
          <w:szCs w:val="22"/>
          <w:lang w:val="es-ES"/>
        </w:rPr>
        <w:t>Por acuerdo de todos los integrantes de la Comisión Ejecutiva, se modifica la fecha de la Segunda Sesión Ordinaria, a celebrarse el 21 de abril de 2020. Al no haber más puntos por tratar, la Secretaria Técnica prosigue con el siguiente punto.</w:t>
      </w:r>
    </w:p>
    <w:p w14:paraId="2697A583" w14:textId="77777777" w:rsidR="00B95E66" w:rsidRPr="00B95E66" w:rsidRDefault="00B95E66" w:rsidP="00B95E66">
      <w:pPr>
        <w:tabs>
          <w:tab w:val="left" w:pos="2610"/>
        </w:tabs>
        <w:rPr>
          <w:rFonts w:eastAsia="Arial" w:cs="Arial"/>
          <w:b/>
          <w:bCs/>
          <w:color w:val="006078"/>
          <w:szCs w:val="22"/>
        </w:rPr>
      </w:pPr>
    </w:p>
    <w:p w14:paraId="01ABCDE3" w14:textId="1C0DBEEA" w:rsidR="00CD0D2D" w:rsidRPr="00CD0D2D" w:rsidRDefault="00CD0D2D" w:rsidP="00D6293B">
      <w:pPr>
        <w:pStyle w:val="Prrafodelista"/>
        <w:numPr>
          <w:ilvl w:val="0"/>
          <w:numId w:val="7"/>
        </w:numPr>
        <w:tabs>
          <w:tab w:val="left" w:pos="2610"/>
        </w:tabs>
        <w:rPr>
          <w:rFonts w:eastAsia="Arial" w:cs="Arial"/>
          <w:b/>
          <w:bCs/>
          <w:color w:val="006078"/>
          <w:szCs w:val="22"/>
        </w:rPr>
      </w:pPr>
      <w:r w:rsidRPr="00CD0D2D">
        <w:rPr>
          <w:rFonts w:eastAsia="Arial" w:cs="Arial"/>
          <w:b/>
          <w:bCs/>
          <w:color w:val="006078"/>
          <w:szCs w:val="22"/>
        </w:rPr>
        <w:t>Acuerdos</w:t>
      </w:r>
    </w:p>
    <w:p w14:paraId="37063570" w14:textId="77777777" w:rsidR="00CD0D2D" w:rsidRDefault="00CD0D2D" w:rsidP="00CD0D2D">
      <w:pPr>
        <w:pStyle w:val="Prrafodelista"/>
        <w:jc w:val="both"/>
        <w:rPr>
          <w:rFonts w:eastAsia="Arial" w:cs="Arial"/>
          <w:szCs w:val="22"/>
          <w:highlight w:val="white"/>
        </w:rPr>
      </w:pPr>
    </w:p>
    <w:p w14:paraId="7EB09671" w14:textId="77777777" w:rsidR="008958D8" w:rsidRDefault="008958D8" w:rsidP="008958D8">
      <w:r>
        <w:t>La Comisión Ejecutiva en su Primera Sesión Ordinaria del 2020 dicta los siguientes acuerdos:</w:t>
      </w:r>
    </w:p>
    <w:p w14:paraId="57887771" w14:textId="77777777" w:rsidR="008958D8" w:rsidRDefault="008958D8" w:rsidP="008958D8">
      <w:pPr>
        <w:rPr>
          <w:b/>
        </w:rPr>
      </w:pPr>
    </w:p>
    <w:p w14:paraId="295B16C6" w14:textId="77777777" w:rsidR="008958D8" w:rsidRPr="008958D8" w:rsidRDefault="008958D8" w:rsidP="008958D8">
      <w:pPr>
        <w:rPr>
          <w:rFonts w:eastAsia="Arial" w:cs="Arial"/>
          <w:b/>
          <w:bCs/>
          <w:color w:val="006078"/>
          <w:szCs w:val="22"/>
          <w:lang w:val="es-ES"/>
        </w:rPr>
      </w:pPr>
      <w:r w:rsidRPr="008958D8">
        <w:rPr>
          <w:rFonts w:eastAsia="Arial" w:cs="Arial"/>
          <w:b/>
          <w:bCs/>
          <w:color w:val="006078"/>
          <w:szCs w:val="22"/>
          <w:lang w:val="es-ES"/>
        </w:rPr>
        <w:t>A.CE.2020.1</w:t>
      </w:r>
    </w:p>
    <w:p w14:paraId="268572E9" w14:textId="77777777" w:rsidR="008958D8" w:rsidRDefault="008958D8" w:rsidP="008958D8">
      <w:pPr>
        <w:pBdr>
          <w:top w:val="nil"/>
          <w:left w:val="nil"/>
          <w:bottom w:val="nil"/>
          <w:right w:val="nil"/>
          <w:between w:val="nil"/>
        </w:pBdr>
        <w:rPr>
          <w:color w:val="000000"/>
        </w:rPr>
      </w:pPr>
      <w:r>
        <w:rPr>
          <w:color w:val="000000"/>
        </w:rPr>
        <w:t xml:space="preserve">Se aprueba la propuesta de estructura y contenido del avance de Informe de Actividades 2019-2020 del Comité Coordinador. </w:t>
      </w:r>
    </w:p>
    <w:p w14:paraId="68962B56" w14:textId="77777777" w:rsidR="008958D8" w:rsidRDefault="008958D8" w:rsidP="008958D8">
      <w:pPr>
        <w:rPr>
          <w:b/>
        </w:rPr>
      </w:pPr>
    </w:p>
    <w:p w14:paraId="64096226" w14:textId="77777777" w:rsidR="008958D8" w:rsidRPr="008958D8" w:rsidRDefault="008958D8" w:rsidP="008958D8">
      <w:pPr>
        <w:rPr>
          <w:rFonts w:eastAsia="Arial" w:cs="Arial"/>
          <w:b/>
          <w:bCs/>
          <w:color w:val="006078"/>
          <w:szCs w:val="22"/>
          <w:lang w:val="es-ES"/>
        </w:rPr>
      </w:pPr>
      <w:r w:rsidRPr="008958D8">
        <w:rPr>
          <w:rFonts w:eastAsia="Arial" w:cs="Arial"/>
          <w:b/>
          <w:bCs/>
          <w:color w:val="006078"/>
          <w:szCs w:val="22"/>
          <w:lang w:val="es-ES"/>
        </w:rPr>
        <w:t>A.CE.2020.2</w:t>
      </w:r>
    </w:p>
    <w:p w14:paraId="570738D3" w14:textId="77777777" w:rsidR="008958D8" w:rsidRDefault="008958D8" w:rsidP="008958D8">
      <w:pPr>
        <w:pBdr>
          <w:top w:val="nil"/>
          <w:left w:val="nil"/>
          <w:bottom w:val="nil"/>
          <w:right w:val="nil"/>
          <w:between w:val="nil"/>
        </w:pBdr>
        <w:rPr>
          <w:color w:val="000000"/>
        </w:rPr>
      </w:pPr>
      <w:r>
        <w:rPr>
          <w:color w:val="000000"/>
        </w:rPr>
        <w:t xml:space="preserve">Se modifica el calendario para la celebración de sesiones ordinarias de esta Comisión Ejecutiva para el 2020, aprobado en la </w:t>
      </w:r>
      <w:r>
        <w:t>S</w:t>
      </w:r>
      <w:r>
        <w:rPr>
          <w:color w:val="000000"/>
        </w:rPr>
        <w:t xml:space="preserve">exta </w:t>
      </w:r>
      <w:r>
        <w:t>S</w:t>
      </w:r>
      <w:r>
        <w:rPr>
          <w:color w:val="000000"/>
        </w:rPr>
        <w:t xml:space="preserve">esión </w:t>
      </w:r>
      <w:r>
        <w:t>O</w:t>
      </w:r>
      <w:r>
        <w:rPr>
          <w:color w:val="000000"/>
        </w:rPr>
        <w:t>rdinaria el 10 de diciembre. (anexo 1)</w:t>
      </w:r>
    </w:p>
    <w:p w14:paraId="4B1BDB81" w14:textId="77777777" w:rsidR="008958D8" w:rsidRDefault="008958D8" w:rsidP="008958D8"/>
    <w:p w14:paraId="1C9E9E45" w14:textId="77777777" w:rsidR="00CD0D2D" w:rsidRDefault="00CD0D2D" w:rsidP="00CD0D2D">
      <w:pPr>
        <w:pStyle w:val="Prrafodelista"/>
        <w:jc w:val="both"/>
        <w:rPr>
          <w:rFonts w:eastAsia="Arial" w:cs="Arial"/>
          <w:b/>
          <w:bCs/>
          <w:color w:val="006078"/>
          <w:szCs w:val="22"/>
        </w:rPr>
      </w:pPr>
    </w:p>
    <w:p w14:paraId="0C2A90FD" w14:textId="77777777" w:rsidR="00CD0D2D" w:rsidRPr="00D14E66" w:rsidRDefault="00CD0D2D" w:rsidP="00CD0D2D">
      <w:pPr>
        <w:pStyle w:val="Prrafodelista"/>
        <w:jc w:val="both"/>
        <w:rPr>
          <w:rFonts w:eastAsia="Arial" w:cs="Arial"/>
          <w:b/>
          <w:bCs/>
          <w:color w:val="006078"/>
          <w:szCs w:val="22"/>
        </w:rPr>
      </w:pPr>
    </w:p>
    <w:p w14:paraId="5808FE2B" w14:textId="77777777" w:rsidR="00CD0D2D" w:rsidRPr="00D14E66" w:rsidRDefault="00CD0D2D" w:rsidP="00CD0D2D">
      <w:pPr>
        <w:pStyle w:val="Prrafodelista"/>
        <w:jc w:val="both"/>
        <w:rPr>
          <w:rFonts w:eastAsia="Arial" w:cs="Arial"/>
          <w:b/>
          <w:bCs/>
          <w:color w:val="006078"/>
          <w:szCs w:val="22"/>
        </w:rPr>
      </w:pPr>
    </w:p>
    <w:p w14:paraId="6C0BA3AA" w14:textId="77777777" w:rsidR="001C71DE" w:rsidRDefault="001C71DE">
      <w:pPr>
        <w:jc w:val="left"/>
        <w:rPr>
          <w:rFonts w:eastAsia="Arial" w:cs="Arial"/>
          <w:szCs w:val="22"/>
          <w:lang w:val="es-ES"/>
        </w:rPr>
      </w:pPr>
      <w:r>
        <w:rPr>
          <w:rFonts w:eastAsia="Arial" w:cs="Arial"/>
          <w:szCs w:val="22"/>
          <w:lang w:val="es-ES"/>
        </w:rPr>
        <w:br w:type="page"/>
      </w:r>
    </w:p>
    <w:p w14:paraId="1592AE1E" w14:textId="77777777" w:rsidR="00CD0D2D" w:rsidRDefault="00CD0D2D" w:rsidP="00CD0D2D">
      <w:pPr>
        <w:rPr>
          <w:rFonts w:eastAsia="Arial" w:cs="Arial"/>
          <w:szCs w:val="22"/>
          <w:lang w:val="es-ES"/>
        </w:rPr>
      </w:pPr>
    </w:p>
    <w:p w14:paraId="372E6407" w14:textId="77777777" w:rsidR="00CD0D2D" w:rsidRPr="00CD0D2D" w:rsidRDefault="00CD0D2D" w:rsidP="00D6293B">
      <w:pPr>
        <w:pStyle w:val="Prrafodelista"/>
        <w:numPr>
          <w:ilvl w:val="0"/>
          <w:numId w:val="7"/>
        </w:numPr>
        <w:rPr>
          <w:rFonts w:eastAsia="Arial" w:cs="Arial"/>
          <w:b/>
          <w:bCs/>
          <w:color w:val="006078"/>
          <w:szCs w:val="22"/>
        </w:rPr>
      </w:pPr>
      <w:r w:rsidRPr="00CD0D2D">
        <w:rPr>
          <w:rFonts w:eastAsia="Arial" w:cs="Arial"/>
          <w:b/>
          <w:bCs/>
          <w:color w:val="006078"/>
          <w:szCs w:val="22"/>
        </w:rPr>
        <w:t>Clausura de la sesión</w:t>
      </w:r>
    </w:p>
    <w:p w14:paraId="09C0440D" w14:textId="77777777" w:rsidR="00CD0D2D" w:rsidRPr="004D0ED2" w:rsidRDefault="00CD0D2D" w:rsidP="00CD0D2D">
      <w:pPr>
        <w:pStyle w:val="Prrafodelista"/>
        <w:ind w:left="720"/>
        <w:rPr>
          <w:rFonts w:eastAsia="Arial" w:cs="Arial"/>
          <w:b/>
          <w:bCs/>
          <w:color w:val="006078"/>
          <w:szCs w:val="22"/>
        </w:rPr>
      </w:pPr>
    </w:p>
    <w:p w14:paraId="2FFF6297" w14:textId="23EFFDCC" w:rsidR="00CD0D2D" w:rsidRPr="004D0ED2" w:rsidRDefault="00CD0D2D" w:rsidP="00CD0D2D">
      <w:pPr>
        <w:rPr>
          <w:rFonts w:eastAsia="Arial" w:cs="Arial"/>
          <w:b/>
          <w:bCs/>
          <w:color w:val="006078"/>
          <w:szCs w:val="22"/>
        </w:rPr>
      </w:pPr>
      <w:r w:rsidRPr="004D0ED2">
        <w:rPr>
          <w:rFonts w:eastAsia="Verdana" w:cs="Arial"/>
          <w:szCs w:val="22"/>
          <w:lang w:eastAsia="es-MX"/>
        </w:rPr>
        <w:t xml:space="preserve">Se da por clausurada la sesión siendo las </w:t>
      </w:r>
      <w:r w:rsidR="005C5A66">
        <w:rPr>
          <w:rFonts w:eastAsia="Verdana" w:cs="Arial"/>
          <w:szCs w:val="22"/>
          <w:lang w:eastAsia="es-MX"/>
        </w:rPr>
        <w:t>11</w:t>
      </w:r>
      <w:r w:rsidRPr="004D0ED2">
        <w:rPr>
          <w:rFonts w:eastAsia="Verdana" w:cs="Arial"/>
          <w:szCs w:val="22"/>
          <w:lang w:eastAsia="es-MX"/>
        </w:rPr>
        <w:t>:5</w:t>
      </w:r>
      <w:r w:rsidR="005C5A66">
        <w:rPr>
          <w:rFonts w:eastAsia="Verdana" w:cs="Arial"/>
          <w:szCs w:val="22"/>
          <w:lang w:eastAsia="es-MX"/>
        </w:rPr>
        <w:t>0</w:t>
      </w:r>
      <w:r w:rsidRPr="004D0ED2">
        <w:rPr>
          <w:rFonts w:eastAsia="Verdana" w:cs="Arial"/>
          <w:szCs w:val="22"/>
          <w:lang w:eastAsia="es-MX"/>
        </w:rPr>
        <w:t xml:space="preserve"> horas del </w:t>
      </w:r>
      <w:r w:rsidR="0000439D">
        <w:rPr>
          <w:rFonts w:eastAsia="Verdana" w:cs="Arial"/>
          <w:szCs w:val="22"/>
          <w:lang w:eastAsia="es-MX"/>
        </w:rPr>
        <w:t>martes</w:t>
      </w:r>
      <w:r w:rsidRPr="004D0ED2">
        <w:rPr>
          <w:rFonts w:eastAsia="Verdana" w:cs="Arial"/>
          <w:szCs w:val="22"/>
          <w:lang w:eastAsia="es-MX"/>
        </w:rPr>
        <w:t xml:space="preserve"> </w:t>
      </w:r>
      <w:r w:rsidR="0000439D">
        <w:rPr>
          <w:rFonts w:eastAsia="Verdana" w:cs="Arial"/>
          <w:szCs w:val="22"/>
          <w:lang w:eastAsia="es-MX"/>
        </w:rPr>
        <w:t>25</w:t>
      </w:r>
      <w:r w:rsidRPr="004D0ED2">
        <w:rPr>
          <w:rFonts w:eastAsia="Verdana" w:cs="Arial"/>
          <w:szCs w:val="22"/>
          <w:lang w:eastAsia="es-MX"/>
        </w:rPr>
        <w:t xml:space="preserve"> de </w:t>
      </w:r>
      <w:r w:rsidR="0000439D">
        <w:rPr>
          <w:rFonts w:eastAsia="Verdana" w:cs="Arial"/>
          <w:szCs w:val="22"/>
          <w:lang w:eastAsia="es-MX"/>
        </w:rPr>
        <w:t>febrero</w:t>
      </w:r>
      <w:r w:rsidRPr="004D0ED2">
        <w:rPr>
          <w:rFonts w:eastAsia="Verdana" w:cs="Arial"/>
          <w:szCs w:val="22"/>
          <w:lang w:eastAsia="es-MX"/>
        </w:rPr>
        <w:t xml:space="preserve"> de 2020 y se firma esta acta.</w:t>
      </w:r>
    </w:p>
    <w:p w14:paraId="737619B6" w14:textId="77777777" w:rsidR="00CD0D2D" w:rsidRDefault="00CD0D2D" w:rsidP="00CD0D2D">
      <w:pPr>
        <w:rPr>
          <w:rFonts w:eastAsia="Arial" w:cs="Arial"/>
          <w:b/>
          <w:bCs/>
          <w:color w:val="006078"/>
          <w:szCs w:val="22"/>
          <w:lang w:val="es-ES"/>
        </w:rPr>
      </w:pPr>
    </w:p>
    <w:tbl>
      <w:tblPr>
        <w:tblStyle w:val="Tabladelista3-nfasis6"/>
        <w:tblW w:w="0" w:type="auto"/>
        <w:tblLook w:val="04A0" w:firstRow="1" w:lastRow="0" w:firstColumn="1" w:lastColumn="0" w:noHBand="0" w:noVBand="1"/>
      </w:tblPr>
      <w:tblGrid>
        <w:gridCol w:w="4414"/>
        <w:gridCol w:w="4414"/>
      </w:tblGrid>
      <w:tr w:rsidR="00CD0D2D" w14:paraId="1B589089" w14:textId="77777777" w:rsidTr="006B3F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14" w:type="dxa"/>
            <w:shd w:val="clear" w:color="auto" w:fill="006078"/>
          </w:tcPr>
          <w:p w14:paraId="14C559AD" w14:textId="77777777" w:rsidR="00CD0D2D" w:rsidRPr="002F376F" w:rsidRDefault="00CD0D2D" w:rsidP="006B3FF0">
            <w:pPr>
              <w:jc w:val="center"/>
              <w:rPr>
                <w:rFonts w:eastAsia="Arial" w:cs="Arial"/>
                <w:b w:val="0"/>
                <w:bCs w:val="0"/>
                <w:szCs w:val="22"/>
                <w:lang w:val="es-ES"/>
              </w:rPr>
            </w:pPr>
            <w:r w:rsidRPr="002F376F">
              <w:rPr>
                <w:rFonts w:eastAsia="Arial" w:cs="Arial"/>
                <w:b w:val="0"/>
                <w:bCs w:val="0"/>
                <w:szCs w:val="22"/>
                <w:lang w:val="es-ES"/>
              </w:rPr>
              <w:t>Nombre</w:t>
            </w:r>
          </w:p>
        </w:tc>
        <w:tc>
          <w:tcPr>
            <w:tcW w:w="4414" w:type="dxa"/>
            <w:shd w:val="clear" w:color="auto" w:fill="006078"/>
          </w:tcPr>
          <w:p w14:paraId="720DED61" w14:textId="77777777" w:rsidR="00CD0D2D" w:rsidRPr="002F376F" w:rsidRDefault="00CD0D2D" w:rsidP="006B3FF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2F376F">
              <w:rPr>
                <w:rFonts w:eastAsia="Arial" w:cs="Arial"/>
                <w:b w:val="0"/>
                <w:bCs w:val="0"/>
                <w:szCs w:val="22"/>
                <w:lang w:val="es-ES"/>
              </w:rPr>
              <w:t>Firma</w:t>
            </w:r>
          </w:p>
        </w:tc>
      </w:tr>
      <w:tr w:rsidR="00CD0D2D" w14:paraId="5366BBCF"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2FAD99A2" w14:textId="77777777" w:rsidR="00CD0D2D" w:rsidRDefault="00CD0D2D" w:rsidP="006B3FF0">
            <w:pPr>
              <w:jc w:val="center"/>
              <w:rPr>
                <w:rFonts w:eastAsia="Arial" w:cs="Arial"/>
                <w:b w:val="0"/>
                <w:bCs w:val="0"/>
                <w:color w:val="006078"/>
                <w:sz w:val="20"/>
                <w:szCs w:val="20"/>
              </w:rPr>
            </w:pPr>
          </w:p>
          <w:p w14:paraId="51B38DA1" w14:textId="77777777" w:rsidR="00D53A01" w:rsidRPr="00D53A01" w:rsidRDefault="00D53A01" w:rsidP="00D53A01">
            <w:pPr>
              <w:jc w:val="center"/>
              <w:rPr>
                <w:rFonts w:eastAsia="Arial" w:cs="Arial"/>
                <w:color w:val="006078"/>
                <w:sz w:val="20"/>
                <w:szCs w:val="20"/>
              </w:rPr>
            </w:pPr>
            <w:r w:rsidRPr="00D53A01">
              <w:rPr>
                <w:rFonts w:eastAsia="Arial" w:cs="Arial"/>
                <w:color w:val="006078"/>
                <w:sz w:val="20"/>
                <w:szCs w:val="20"/>
              </w:rPr>
              <w:t>Annel Vázquez Anderson</w:t>
            </w:r>
          </w:p>
          <w:p w14:paraId="38B4CF59" w14:textId="704D4D7A" w:rsidR="00CD0D2D" w:rsidRPr="00D53A01" w:rsidRDefault="00D53A01" w:rsidP="00D53A01">
            <w:pPr>
              <w:jc w:val="center"/>
              <w:rPr>
                <w:rFonts w:eastAsia="Arial" w:cs="Arial"/>
                <w:b w:val="0"/>
                <w:bCs w:val="0"/>
                <w:color w:val="006078"/>
                <w:sz w:val="20"/>
                <w:szCs w:val="20"/>
                <w:lang w:val="es-ES"/>
              </w:rPr>
            </w:pPr>
            <w:r w:rsidRPr="00D53A01">
              <w:rPr>
                <w:rFonts w:eastAsia="Arial" w:cs="Arial"/>
                <w:b w:val="0"/>
                <w:bCs w:val="0"/>
                <w:color w:val="006078"/>
                <w:sz w:val="20"/>
                <w:szCs w:val="20"/>
              </w:rPr>
              <w:t>Integrante</w:t>
            </w:r>
          </w:p>
        </w:tc>
        <w:tc>
          <w:tcPr>
            <w:tcW w:w="4414" w:type="dxa"/>
          </w:tcPr>
          <w:p w14:paraId="0B8352C4"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80ADCFA"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63CC505D"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3033EF0E"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CD0D2D" w14:paraId="305B71A9" w14:textId="77777777" w:rsidTr="006B3FF0">
        <w:tc>
          <w:tcPr>
            <w:cnfStyle w:val="001000000000" w:firstRow="0" w:lastRow="0" w:firstColumn="1" w:lastColumn="0" w:oddVBand="0" w:evenVBand="0" w:oddHBand="0" w:evenHBand="0" w:firstRowFirstColumn="0" w:firstRowLastColumn="0" w:lastRowFirstColumn="0" w:lastRowLastColumn="0"/>
            <w:tcW w:w="4414" w:type="dxa"/>
          </w:tcPr>
          <w:p w14:paraId="273FD83B" w14:textId="77777777" w:rsidR="00CD0D2D" w:rsidRDefault="00CD0D2D" w:rsidP="006B3FF0">
            <w:pPr>
              <w:jc w:val="center"/>
              <w:rPr>
                <w:rFonts w:eastAsia="Arial" w:cs="Arial"/>
                <w:b w:val="0"/>
                <w:bCs w:val="0"/>
                <w:color w:val="006078"/>
                <w:sz w:val="20"/>
                <w:szCs w:val="20"/>
                <w:lang w:val="es-ES"/>
              </w:rPr>
            </w:pPr>
          </w:p>
          <w:p w14:paraId="327404E9" w14:textId="77777777" w:rsidR="000321D8" w:rsidRPr="000321D8" w:rsidRDefault="000321D8" w:rsidP="000321D8">
            <w:pPr>
              <w:jc w:val="center"/>
              <w:rPr>
                <w:rFonts w:eastAsia="Arial" w:cs="Arial"/>
                <w:color w:val="006078"/>
                <w:sz w:val="20"/>
                <w:szCs w:val="20"/>
                <w:lang w:val="es-ES"/>
              </w:rPr>
            </w:pPr>
            <w:r w:rsidRPr="000321D8">
              <w:rPr>
                <w:rFonts w:eastAsia="Arial" w:cs="Arial"/>
                <w:color w:val="006078"/>
                <w:sz w:val="20"/>
                <w:szCs w:val="20"/>
                <w:lang w:val="es-ES"/>
              </w:rPr>
              <w:t>Jesús Ibarra Cárdenas</w:t>
            </w:r>
          </w:p>
          <w:p w14:paraId="42E8F5DB" w14:textId="27ED314B" w:rsidR="00CD0D2D" w:rsidRPr="000321D8" w:rsidRDefault="000321D8" w:rsidP="000321D8">
            <w:pPr>
              <w:jc w:val="center"/>
              <w:rPr>
                <w:rFonts w:eastAsia="Arial" w:cs="Arial"/>
                <w:b w:val="0"/>
                <w:bCs w:val="0"/>
                <w:color w:val="006078"/>
                <w:sz w:val="20"/>
                <w:szCs w:val="20"/>
                <w:lang w:val="es-ES"/>
              </w:rPr>
            </w:pPr>
            <w:r w:rsidRPr="000321D8">
              <w:rPr>
                <w:rFonts w:eastAsia="Arial" w:cs="Arial"/>
                <w:b w:val="0"/>
                <w:bCs w:val="0"/>
                <w:color w:val="006078"/>
                <w:sz w:val="20"/>
                <w:szCs w:val="20"/>
                <w:lang w:val="es-ES"/>
              </w:rPr>
              <w:t>Integrante</w:t>
            </w:r>
          </w:p>
        </w:tc>
        <w:tc>
          <w:tcPr>
            <w:tcW w:w="4414" w:type="dxa"/>
          </w:tcPr>
          <w:p w14:paraId="7E2CAD5E"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1303F50C"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19DC979E"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3EB13C19"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CD0D2D" w14:paraId="71C484BA"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3F242D6C" w14:textId="77777777" w:rsidR="00CD0D2D" w:rsidRDefault="00CD0D2D" w:rsidP="006B3FF0">
            <w:pPr>
              <w:jc w:val="center"/>
              <w:rPr>
                <w:rFonts w:eastAsia="Arial" w:cs="Arial"/>
                <w:b w:val="0"/>
                <w:bCs w:val="0"/>
                <w:color w:val="006078"/>
                <w:sz w:val="20"/>
                <w:szCs w:val="20"/>
                <w:lang w:val="es-ES"/>
              </w:rPr>
            </w:pPr>
          </w:p>
          <w:p w14:paraId="4294CAAB" w14:textId="77777777" w:rsidR="00077DE2" w:rsidRPr="00077DE2" w:rsidRDefault="00077DE2" w:rsidP="00077DE2">
            <w:pPr>
              <w:jc w:val="center"/>
              <w:rPr>
                <w:rFonts w:eastAsia="Arial" w:cs="Arial"/>
                <w:color w:val="006078"/>
                <w:sz w:val="20"/>
                <w:szCs w:val="20"/>
                <w:lang w:val="es-ES"/>
              </w:rPr>
            </w:pPr>
            <w:r w:rsidRPr="00077DE2">
              <w:rPr>
                <w:rFonts w:eastAsia="Arial" w:cs="Arial"/>
                <w:color w:val="006078"/>
                <w:sz w:val="20"/>
                <w:szCs w:val="20"/>
                <w:lang w:val="es-ES"/>
              </w:rPr>
              <w:t>Nancy García Vázquez</w:t>
            </w:r>
          </w:p>
          <w:p w14:paraId="7ADBAC18" w14:textId="612FCD7F" w:rsidR="00CD0D2D" w:rsidRPr="00077DE2" w:rsidRDefault="00077DE2" w:rsidP="00077DE2">
            <w:pPr>
              <w:jc w:val="center"/>
              <w:rPr>
                <w:rFonts w:eastAsia="Arial" w:cs="Arial"/>
                <w:b w:val="0"/>
                <w:bCs w:val="0"/>
                <w:color w:val="006078"/>
                <w:sz w:val="20"/>
                <w:szCs w:val="20"/>
                <w:lang w:val="es-ES"/>
              </w:rPr>
            </w:pPr>
            <w:r w:rsidRPr="00077DE2">
              <w:rPr>
                <w:rFonts w:eastAsia="Arial" w:cs="Arial"/>
                <w:b w:val="0"/>
                <w:bCs w:val="0"/>
                <w:color w:val="006078"/>
                <w:sz w:val="20"/>
                <w:szCs w:val="20"/>
                <w:lang w:val="es-ES"/>
              </w:rPr>
              <w:t>Integrante</w:t>
            </w:r>
          </w:p>
        </w:tc>
        <w:tc>
          <w:tcPr>
            <w:tcW w:w="4414" w:type="dxa"/>
          </w:tcPr>
          <w:p w14:paraId="58662195"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61233D8C"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1FFD1DB2"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C68F67A"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CD0D2D" w14:paraId="227C26C6" w14:textId="77777777" w:rsidTr="006B3FF0">
        <w:tc>
          <w:tcPr>
            <w:cnfStyle w:val="001000000000" w:firstRow="0" w:lastRow="0" w:firstColumn="1" w:lastColumn="0" w:oddVBand="0" w:evenVBand="0" w:oddHBand="0" w:evenHBand="0" w:firstRowFirstColumn="0" w:firstRowLastColumn="0" w:lastRowFirstColumn="0" w:lastRowLastColumn="0"/>
            <w:tcW w:w="4414" w:type="dxa"/>
          </w:tcPr>
          <w:p w14:paraId="7293BD0C" w14:textId="77777777" w:rsidR="00375CAA" w:rsidRDefault="00375CAA" w:rsidP="00375CAA">
            <w:pPr>
              <w:jc w:val="center"/>
              <w:rPr>
                <w:rFonts w:eastAsia="Arial" w:cs="Arial"/>
                <w:color w:val="006078"/>
                <w:sz w:val="20"/>
                <w:szCs w:val="20"/>
                <w:lang w:val="es-ES"/>
              </w:rPr>
            </w:pPr>
          </w:p>
          <w:p w14:paraId="7E0B6D29" w14:textId="7E7F3EA8" w:rsidR="00375CAA" w:rsidRPr="00375CAA" w:rsidRDefault="00375CAA" w:rsidP="00375CAA">
            <w:pPr>
              <w:jc w:val="center"/>
              <w:rPr>
                <w:rFonts w:eastAsia="Arial" w:cs="Arial"/>
                <w:color w:val="006078"/>
                <w:sz w:val="20"/>
                <w:szCs w:val="20"/>
                <w:lang w:val="es-ES"/>
              </w:rPr>
            </w:pPr>
            <w:r w:rsidRPr="00375CAA">
              <w:rPr>
                <w:rFonts w:eastAsia="Arial" w:cs="Arial"/>
                <w:color w:val="006078"/>
                <w:sz w:val="20"/>
                <w:szCs w:val="20"/>
                <w:lang w:val="es-ES"/>
              </w:rPr>
              <w:t>David Gómez Álvarez Pérez</w:t>
            </w:r>
          </w:p>
          <w:p w14:paraId="6A20C0A3" w14:textId="1767A706" w:rsidR="00CD0D2D" w:rsidRPr="002F376F" w:rsidRDefault="00375CAA" w:rsidP="00375CAA">
            <w:pPr>
              <w:jc w:val="center"/>
              <w:rPr>
                <w:rFonts w:eastAsia="Arial" w:cs="Arial"/>
                <w:b w:val="0"/>
                <w:bCs w:val="0"/>
                <w:color w:val="006078"/>
                <w:sz w:val="20"/>
                <w:szCs w:val="20"/>
                <w:lang w:val="es-ES"/>
              </w:rPr>
            </w:pPr>
            <w:r w:rsidRPr="00375CAA">
              <w:rPr>
                <w:rFonts w:eastAsia="Arial" w:cs="Arial"/>
                <w:b w:val="0"/>
                <w:bCs w:val="0"/>
                <w:color w:val="006078"/>
                <w:sz w:val="20"/>
                <w:szCs w:val="20"/>
                <w:lang w:val="es-ES"/>
              </w:rPr>
              <w:t>Integrante</w:t>
            </w:r>
          </w:p>
        </w:tc>
        <w:tc>
          <w:tcPr>
            <w:tcW w:w="4414" w:type="dxa"/>
          </w:tcPr>
          <w:p w14:paraId="058B2AB9"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46F2B833"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689150D2"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29D66F64"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CD0D2D" w14:paraId="555E97B2"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155E3566" w14:textId="77777777" w:rsidR="00CD0D2D" w:rsidRDefault="00CD0D2D" w:rsidP="006B3FF0">
            <w:pPr>
              <w:jc w:val="center"/>
              <w:rPr>
                <w:rFonts w:eastAsia="Arial" w:cs="Arial"/>
                <w:b w:val="0"/>
                <w:bCs w:val="0"/>
                <w:color w:val="006078"/>
                <w:sz w:val="20"/>
                <w:szCs w:val="20"/>
                <w:lang w:val="es-ES"/>
              </w:rPr>
            </w:pPr>
          </w:p>
          <w:p w14:paraId="5A3336EF" w14:textId="77777777" w:rsidR="00CD0D2D" w:rsidRPr="002F376F" w:rsidRDefault="00CD0D2D" w:rsidP="006B3FF0">
            <w:pPr>
              <w:jc w:val="center"/>
              <w:rPr>
                <w:rFonts w:eastAsia="Arial" w:cs="Arial"/>
                <w:color w:val="006078"/>
                <w:sz w:val="20"/>
                <w:szCs w:val="20"/>
                <w:lang w:val="es-ES"/>
              </w:rPr>
            </w:pPr>
            <w:r w:rsidRPr="002F376F">
              <w:rPr>
                <w:rFonts w:eastAsia="Arial" w:cs="Arial"/>
                <w:color w:val="006078"/>
                <w:sz w:val="20"/>
                <w:szCs w:val="20"/>
                <w:lang w:val="es-ES"/>
              </w:rPr>
              <w:t>Haimé Figueroa Neri</w:t>
            </w:r>
          </w:p>
          <w:p w14:paraId="79CF6775" w14:textId="77777777" w:rsidR="00CD0D2D" w:rsidRDefault="00CD0D2D" w:rsidP="006B3FF0">
            <w:pPr>
              <w:jc w:val="center"/>
              <w:rPr>
                <w:rFonts w:eastAsia="Arial" w:cs="Arial"/>
                <w:color w:val="006078"/>
                <w:sz w:val="20"/>
                <w:szCs w:val="20"/>
                <w:lang w:val="es-ES"/>
              </w:rPr>
            </w:pPr>
            <w:r w:rsidRPr="002F376F">
              <w:rPr>
                <w:rFonts w:eastAsia="Arial" w:cs="Arial"/>
                <w:b w:val="0"/>
                <w:bCs w:val="0"/>
                <w:color w:val="006078"/>
                <w:sz w:val="20"/>
                <w:szCs w:val="20"/>
                <w:lang w:val="es-ES"/>
              </w:rPr>
              <w:t>Secretaria Técnica de la Secretaría Ejecutiva del Sistema Estatal Anticorrupción de Jalisco</w:t>
            </w:r>
          </w:p>
          <w:p w14:paraId="24C0DE47" w14:textId="77777777" w:rsidR="00CD0D2D" w:rsidRPr="002F376F" w:rsidRDefault="00CD0D2D" w:rsidP="006B3FF0">
            <w:pPr>
              <w:jc w:val="center"/>
              <w:rPr>
                <w:rFonts w:eastAsia="Arial" w:cs="Arial"/>
                <w:b w:val="0"/>
                <w:bCs w:val="0"/>
                <w:color w:val="006078"/>
                <w:sz w:val="20"/>
                <w:szCs w:val="20"/>
                <w:lang w:val="es-ES"/>
              </w:rPr>
            </w:pPr>
          </w:p>
        </w:tc>
        <w:tc>
          <w:tcPr>
            <w:tcW w:w="4414" w:type="dxa"/>
          </w:tcPr>
          <w:p w14:paraId="161C1D7E"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FA41A21"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658B3608"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28A4CD24"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bl>
    <w:p w14:paraId="19A253C0" w14:textId="77777777" w:rsidR="00CD0D2D" w:rsidRDefault="00CD0D2D" w:rsidP="00CD0D2D">
      <w:pPr>
        <w:tabs>
          <w:tab w:val="left" w:pos="2610"/>
        </w:tabs>
        <w:rPr>
          <w:rFonts w:eastAsia="Arial" w:cs="Arial"/>
          <w:szCs w:val="22"/>
          <w:lang w:val="es-ES"/>
        </w:rPr>
      </w:pPr>
    </w:p>
    <w:p w14:paraId="0373BA28" w14:textId="1A27A4EF" w:rsidR="00CD0D2D" w:rsidRDefault="00F254BC" w:rsidP="00CD0D2D">
      <w:pPr>
        <w:tabs>
          <w:tab w:val="left" w:pos="2610"/>
        </w:tabs>
        <w:rPr>
          <w:rFonts w:eastAsia="Arial" w:cs="Arial"/>
          <w:szCs w:val="22"/>
          <w:lang w:val="es-ES"/>
        </w:rPr>
      </w:pPr>
      <w:r w:rsidRPr="00F254BC">
        <w:rPr>
          <w:rFonts w:eastAsia="Arial" w:cs="Arial"/>
          <w:szCs w:val="22"/>
          <w:lang w:val="es-ES"/>
        </w:rPr>
        <w:t>Última hoja del acta de la Primera Sesión Ordinaria de la Comisión Ejecutiva de la Secretaría Ejecutiva del Sistema Estatal Anticorrupción de Jalisco del 25 de febrero de 2020.</w:t>
      </w:r>
    </w:p>
    <w:p w14:paraId="7DEF23E9" w14:textId="5A419F99" w:rsidR="00186749" w:rsidRDefault="00186749" w:rsidP="00CD0D2D">
      <w:pPr>
        <w:tabs>
          <w:tab w:val="left" w:pos="2610"/>
        </w:tabs>
        <w:rPr>
          <w:rFonts w:eastAsia="Arial" w:cs="Arial"/>
          <w:szCs w:val="22"/>
          <w:lang w:val="es-ES"/>
        </w:rPr>
      </w:pPr>
    </w:p>
    <w:p w14:paraId="22949776" w14:textId="39834C67" w:rsidR="00186749" w:rsidRDefault="00186749" w:rsidP="00CD0D2D">
      <w:pPr>
        <w:tabs>
          <w:tab w:val="left" w:pos="2610"/>
        </w:tabs>
        <w:rPr>
          <w:rFonts w:eastAsia="Arial" w:cs="Arial"/>
          <w:szCs w:val="22"/>
          <w:lang w:val="es-ES"/>
        </w:rPr>
      </w:pPr>
    </w:p>
    <w:p w14:paraId="7D16F0A5" w14:textId="741AD2FD" w:rsidR="00186749" w:rsidRDefault="00186749" w:rsidP="00CD0D2D">
      <w:pPr>
        <w:tabs>
          <w:tab w:val="left" w:pos="2610"/>
        </w:tabs>
        <w:rPr>
          <w:rFonts w:eastAsia="Arial" w:cs="Arial"/>
          <w:szCs w:val="22"/>
          <w:lang w:val="es-ES"/>
        </w:rPr>
      </w:pPr>
    </w:p>
    <w:p w14:paraId="441D273A" w14:textId="2D76A487" w:rsidR="00186749" w:rsidRDefault="00186749" w:rsidP="00CD0D2D">
      <w:pPr>
        <w:tabs>
          <w:tab w:val="left" w:pos="2610"/>
        </w:tabs>
        <w:rPr>
          <w:rFonts w:eastAsia="Arial" w:cs="Arial"/>
          <w:szCs w:val="22"/>
          <w:lang w:val="es-ES"/>
        </w:rPr>
      </w:pPr>
    </w:p>
    <w:p w14:paraId="3B929B52" w14:textId="025D6F2F" w:rsidR="00186749" w:rsidRDefault="00186749" w:rsidP="00CD0D2D">
      <w:pPr>
        <w:tabs>
          <w:tab w:val="left" w:pos="2610"/>
        </w:tabs>
        <w:rPr>
          <w:rFonts w:eastAsia="Arial" w:cs="Arial"/>
          <w:szCs w:val="22"/>
          <w:lang w:val="es-ES"/>
        </w:rPr>
      </w:pPr>
    </w:p>
    <w:p w14:paraId="557F221C" w14:textId="094C6352" w:rsidR="00186749" w:rsidRDefault="00186749" w:rsidP="00CD0D2D">
      <w:pPr>
        <w:tabs>
          <w:tab w:val="left" w:pos="2610"/>
        </w:tabs>
        <w:rPr>
          <w:rFonts w:eastAsia="Arial" w:cs="Arial"/>
          <w:szCs w:val="22"/>
          <w:lang w:val="es-ES"/>
        </w:rPr>
      </w:pPr>
    </w:p>
    <w:p w14:paraId="528AEE6B" w14:textId="36E97077" w:rsidR="00186749" w:rsidRDefault="00186749" w:rsidP="00CD0D2D">
      <w:pPr>
        <w:tabs>
          <w:tab w:val="left" w:pos="2610"/>
        </w:tabs>
        <w:rPr>
          <w:rFonts w:eastAsia="Arial" w:cs="Arial"/>
          <w:szCs w:val="22"/>
          <w:lang w:val="es-ES"/>
        </w:rPr>
      </w:pPr>
    </w:p>
    <w:p w14:paraId="348C46CB" w14:textId="0484B11E" w:rsidR="00186749" w:rsidRDefault="00186749" w:rsidP="00CD0D2D">
      <w:pPr>
        <w:tabs>
          <w:tab w:val="left" w:pos="2610"/>
        </w:tabs>
        <w:rPr>
          <w:rFonts w:eastAsia="Arial" w:cs="Arial"/>
          <w:szCs w:val="22"/>
          <w:lang w:val="es-ES"/>
        </w:rPr>
      </w:pPr>
    </w:p>
    <w:p w14:paraId="718B776E" w14:textId="0E71A542" w:rsidR="00186749" w:rsidRDefault="00186749" w:rsidP="00CD0D2D">
      <w:pPr>
        <w:tabs>
          <w:tab w:val="left" w:pos="2610"/>
        </w:tabs>
        <w:rPr>
          <w:rFonts w:eastAsia="Arial" w:cs="Arial"/>
          <w:szCs w:val="22"/>
          <w:lang w:val="es-ES"/>
        </w:rPr>
      </w:pPr>
    </w:p>
    <w:p w14:paraId="38DD96D7" w14:textId="27F082FC" w:rsidR="00186749" w:rsidRDefault="00186749" w:rsidP="00CD0D2D">
      <w:pPr>
        <w:tabs>
          <w:tab w:val="left" w:pos="2610"/>
        </w:tabs>
        <w:rPr>
          <w:rFonts w:eastAsia="Arial" w:cs="Arial"/>
          <w:szCs w:val="22"/>
          <w:lang w:val="es-ES"/>
        </w:rPr>
      </w:pPr>
    </w:p>
    <w:p w14:paraId="50DDBEF5" w14:textId="65F3ACCC" w:rsidR="00186749" w:rsidRDefault="00186749" w:rsidP="00CD0D2D">
      <w:pPr>
        <w:tabs>
          <w:tab w:val="left" w:pos="2610"/>
        </w:tabs>
        <w:rPr>
          <w:rFonts w:eastAsia="Arial" w:cs="Arial"/>
          <w:szCs w:val="22"/>
          <w:lang w:val="es-ES"/>
        </w:rPr>
      </w:pPr>
    </w:p>
    <w:p w14:paraId="5038E83F" w14:textId="3232A66F" w:rsidR="00186749" w:rsidRDefault="00186749" w:rsidP="00CD0D2D">
      <w:pPr>
        <w:tabs>
          <w:tab w:val="left" w:pos="2610"/>
        </w:tabs>
        <w:rPr>
          <w:rFonts w:eastAsia="Arial" w:cs="Arial"/>
          <w:szCs w:val="22"/>
          <w:lang w:val="es-ES"/>
        </w:rPr>
      </w:pPr>
    </w:p>
    <w:p w14:paraId="5C27B93A" w14:textId="7AF9DC27" w:rsidR="00186749" w:rsidRDefault="00186749" w:rsidP="00CD0D2D">
      <w:pPr>
        <w:tabs>
          <w:tab w:val="left" w:pos="2610"/>
        </w:tabs>
        <w:rPr>
          <w:rFonts w:eastAsia="Arial" w:cs="Arial"/>
          <w:szCs w:val="22"/>
          <w:lang w:val="es-ES"/>
        </w:rPr>
      </w:pPr>
    </w:p>
    <w:p w14:paraId="5E7FCE8F" w14:textId="682430AB" w:rsidR="00186749" w:rsidRDefault="00186749" w:rsidP="00CD0D2D">
      <w:pPr>
        <w:tabs>
          <w:tab w:val="left" w:pos="2610"/>
        </w:tabs>
        <w:rPr>
          <w:rFonts w:eastAsia="Arial" w:cs="Arial"/>
          <w:szCs w:val="22"/>
          <w:lang w:val="es-ES"/>
        </w:rPr>
      </w:pPr>
    </w:p>
    <w:p w14:paraId="4F6BFF77" w14:textId="7D344EEB" w:rsidR="00186749" w:rsidRDefault="00186749" w:rsidP="00CD0D2D">
      <w:pPr>
        <w:tabs>
          <w:tab w:val="left" w:pos="2610"/>
        </w:tabs>
        <w:rPr>
          <w:rFonts w:eastAsia="Arial" w:cs="Arial"/>
          <w:szCs w:val="22"/>
          <w:lang w:val="es-ES"/>
        </w:rPr>
      </w:pPr>
    </w:p>
    <w:p w14:paraId="5AC493A4" w14:textId="4260E799" w:rsidR="00186749" w:rsidRDefault="00186749" w:rsidP="00CD0D2D">
      <w:pPr>
        <w:tabs>
          <w:tab w:val="left" w:pos="2610"/>
        </w:tabs>
        <w:rPr>
          <w:rFonts w:eastAsia="Arial" w:cs="Arial"/>
          <w:szCs w:val="22"/>
          <w:lang w:val="es-ES"/>
        </w:rPr>
      </w:pPr>
    </w:p>
    <w:p w14:paraId="1AA1BD70" w14:textId="49ED37E5" w:rsidR="00186749" w:rsidRDefault="00186749" w:rsidP="00CD0D2D">
      <w:pPr>
        <w:tabs>
          <w:tab w:val="left" w:pos="2610"/>
        </w:tabs>
        <w:rPr>
          <w:rFonts w:eastAsia="Arial" w:cs="Arial"/>
          <w:szCs w:val="22"/>
          <w:lang w:val="es-ES"/>
        </w:rPr>
      </w:pPr>
    </w:p>
    <w:p w14:paraId="2C862D9A" w14:textId="32902584" w:rsidR="00186749" w:rsidRDefault="00186749" w:rsidP="00CD0D2D">
      <w:pPr>
        <w:tabs>
          <w:tab w:val="left" w:pos="2610"/>
        </w:tabs>
        <w:rPr>
          <w:rFonts w:eastAsia="Arial" w:cs="Arial"/>
          <w:szCs w:val="22"/>
          <w:lang w:val="es-ES"/>
        </w:rPr>
      </w:pPr>
    </w:p>
    <w:p w14:paraId="0835DE3D" w14:textId="77777777" w:rsidR="00186749" w:rsidRDefault="00186749" w:rsidP="00186749">
      <w:pPr>
        <w:jc w:val="center"/>
        <w:rPr>
          <w:b/>
        </w:rPr>
      </w:pPr>
      <w:r>
        <w:rPr>
          <w:b/>
        </w:rPr>
        <w:t>Anexo 1</w:t>
      </w:r>
    </w:p>
    <w:tbl>
      <w:tblPr>
        <w:tblW w:w="9199" w:type="dxa"/>
        <w:tblLayout w:type="fixed"/>
        <w:tblLook w:val="0000" w:firstRow="0" w:lastRow="0" w:firstColumn="0" w:lastColumn="0" w:noHBand="0" w:noVBand="0"/>
      </w:tblPr>
      <w:tblGrid>
        <w:gridCol w:w="2522"/>
        <w:gridCol w:w="1231"/>
        <w:gridCol w:w="2667"/>
        <w:gridCol w:w="1231"/>
        <w:gridCol w:w="1548"/>
      </w:tblGrid>
      <w:tr w:rsidR="00186749" w14:paraId="352B0EA1" w14:textId="77777777" w:rsidTr="00C07660">
        <w:trPr>
          <w:trHeight w:val="290"/>
        </w:trPr>
        <w:tc>
          <w:tcPr>
            <w:tcW w:w="9199" w:type="dxa"/>
            <w:gridSpan w:val="5"/>
            <w:tcBorders>
              <w:top w:val="single" w:sz="12" w:space="0" w:color="000000"/>
              <w:left w:val="single" w:sz="12" w:space="0" w:color="000000"/>
              <w:bottom w:val="single" w:sz="6" w:space="0" w:color="000000"/>
              <w:right w:val="single" w:sz="6" w:space="0" w:color="000000"/>
            </w:tcBorders>
            <w:shd w:val="clear" w:color="auto" w:fill="E2EFD9"/>
          </w:tcPr>
          <w:p w14:paraId="159B8B80" w14:textId="77777777" w:rsidR="00186749" w:rsidRDefault="00186749" w:rsidP="00C07660">
            <w:pPr>
              <w:jc w:val="center"/>
              <w:rPr>
                <w:rFonts w:eastAsia="Arial" w:cs="Arial"/>
                <w:b/>
                <w:color w:val="000000"/>
              </w:rPr>
            </w:pPr>
            <w:r>
              <w:rPr>
                <w:rFonts w:eastAsia="Arial" w:cs="Arial"/>
                <w:b/>
                <w:color w:val="000000"/>
              </w:rPr>
              <w:t xml:space="preserve">Sesiones 2020 </w:t>
            </w:r>
          </w:p>
          <w:p w14:paraId="0B436FF7" w14:textId="77777777" w:rsidR="00186749" w:rsidRDefault="00186749" w:rsidP="00C07660">
            <w:pPr>
              <w:jc w:val="center"/>
              <w:rPr>
                <w:rFonts w:eastAsia="Arial" w:cs="Arial"/>
                <w:b/>
                <w:color w:val="000000"/>
              </w:rPr>
            </w:pPr>
            <w:r>
              <w:rPr>
                <w:rFonts w:eastAsia="Arial" w:cs="Arial"/>
                <w:b/>
                <w:color w:val="000000"/>
              </w:rPr>
              <w:t>Comisión Ejecutiva</w:t>
            </w:r>
          </w:p>
        </w:tc>
      </w:tr>
      <w:tr w:rsidR="00186749" w14:paraId="6607896B" w14:textId="77777777" w:rsidTr="00C07660">
        <w:trPr>
          <w:trHeight w:val="300"/>
        </w:trPr>
        <w:tc>
          <w:tcPr>
            <w:tcW w:w="2522" w:type="dxa"/>
            <w:tcBorders>
              <w:top w:val="single" w:sz="6" w:space="0" w:color="000000"/>
              <w:left w:val="single" w:sz="12" w:space="0" w:color="000000"/>
              <w:bottom w:val="single" w:sz="12" w:space="0" w:color="000000"/>
              <w:right w:val="single" w:sz="6" w:space="0" w:color="000000"/>
            </w:tcBorders>
            <w:shd w:val="clear" w:color="auto" w:fill="E2EFD9"/>
          </w:tcPr>
          <w:p w14:paraId="4FDCFD4B" w14:textId="77777777" w:rsidR="00186749" w:rsidRDefault="00186749" w:rsidP="00C07660">
            <w:pPr>
              <w:jc w:val="center"/>
              <w:rPr>
                <w:rFonts w:eastAsia="Arial" w:cs="Arial"/>
                <w:b/>
                <w:color w:val="000000"/>
              </w:rPr>
            </w:pPr>
            <w:r>
              <w:rPr>
                <w:rFonts w:eastAsia="Arial" w:cs="Arial"/>
                <w:b/>
                <w:color w:val="000000"/>
              </w:rPr>
              <w:t xml:space="preserve">Número </w:t>
            </w:r>
          </w:p>
        </w:tc>
        <w:tc>
          <w:tcPr>
            <w:tcW w:w="1231" w:type="dxa"/>
            <w:tcBorders>
              <w:top w:val="single" w:sz="6" w:space="0" w:color="000000"/>
              <w:left w:val="single" w:sz="6" w:space="0" w:color="000000"/>
              <w:bottom w:val="single" w:sz="12" w:space="0" w:color="000000"/>
              <w:right w:val="single" w:sz="6" w:space="0" w:color="000000"/>
            </w:tcBorders>
            <w:shd w:val="clear" w:color="auto" w:fill="E2EFD9"/>
          </w:tcPr>
          <w:p w14:paraId="6BEE1909" w14:textId="77777777" w:rsidR="00186749" w:rsidRDefault="00186749" w:rsidP="00C07660">
            <w:pPr>
              <w:jc w:val="center"/>
              <w:rPr>
                <w:rFonts w:eastAsia="Arial" w:cs="Arial"/>
                <w:b/>
                <w:color w:val="000000"/>
              </w:rPr>
            </w:pPr>
            <w:r>
              <w:rPr>
                <w:rFonts w:eastAsia="Arial" w:cs="Arial"/>
                <w:b/>
                <w:color w:val="000000"/>
              </w:rPr>
              <w:t>Tipo</w:t>
            </w:r>
          </w:p>
        </w:tc>
        <w:tc>
          <w:tcPr>
            <w:tcW w:w="2667" w:type="dxa"/>
            <w:tcBorders>
              <w:top w:val="single" w:sz="6" w:space="0" w:color="000000"/>
              <w:left w:val="single" w:sz="6" w:space="0" w:color="000000"/>
              <w:bottom w:val="single" w:sz="12" w:space="0" w:color="000000"/>
              <w:right w:val="single" w:sz="6" w:space="0" w:color="000000"/>
            </w:tcBorders>
            <w:shd w:val="clear" w:color="auto" w:fill="E2EFD9"/>
          </w:tcPr>
          <w:p w14:paraId="2843529A" w14:textId="77777777" w:rsidR="00186749" w:rsidRDefault="00186749" w:rsidP="00C07660">
            <w:pPr>
              <w:jc w:val="center"/>
              <w:rPr>
                <w:rFonts w:eastAsia="Arial" w:cs="Arial"/>
                <w:b/>
                <w:color w:val="000000"/>
              </w:rPr>
            </w:pPr>
            <w:r>
              <w:rPr>
                <w:rFonts w:eastAsia="Arial" w:cs="Arial"/>
                <w:b/>
                <w:color w:val="000000"/>
              </w:rPr>
              <w:t>Fecha</w:t>
            </w:r>
          </w:p>
          <w:p w14:paraId="39C499D0" w14:textId="77777777" w:rsidR="00186749" w:rsidRDefault="00186749" w:rsidP="00C07660">
            <w:pPr>
              <w:jc w:val="center"/>
              <w:rPr>
                <w:rFonts w:eastAsia="Arial" w:cs="Arial"/>
                <w:b/>
                <w:color w:val="000000"/>
              </w:rPr>
            </w:pPr>
            <w:r>
              <w:rPr>
                <w:rFonts w:eastAsia="Arial" w:cs="Arial"/>
                <w:b/>
                <w:color w:val="000000"/>
              </w:rPr>
              <w:t>MARTES</w:t>
            </w:r>
          </w:p>
        </w:tc>
        <w:tc>
          <w:tcPr>
            <w:tcW w:w="1231" w:type="dxa"/>
            <w:tcBorders>
              <w:top w:val="single" w:sz="6" w:space="0" w:color="000000"/>
              <w:left w:val="single" w:sz="6" w:space="0" w:color="000000"/>
              <w:bottom w:val="single" w:sz="12" w:space="0" w:color="000000"/>
              <w:right w:val="single" w:sz="6" w:space="0" w:color="000000"/>
            </w:tcBorders>
            <w:shd w:val="clear" w:color="auto" w:fill="E2EFD9"/>
          </w:tcPr>
          <w:p w14:paraId="464D9F6C" w14:textId="77777777" w:rsidR="00186749" w:rsidRDefault="00186749" w:rsidP="00C07660">
            <w:pPr>
              <w:jc w:val="center"/>
              <w:rPr>
                <w:rFonts w:eastAsia="Arial" w:cs="Arial"/>
                <w:b/>
                <w:color w:val="000000"/>
              </w:rPr>
            </w:pPr>
            <w:r>
              <w:rPr>
                <w:rFonts w:eastAsia="Arial" w:cs="Arial"/>
                <w:b/>
                <w:color w:val="000000"/>
              </w:rPr>
              <w:t xml:space="preserve"> Hora</w:t>
            </w:r>
          </w:p>
        </w:tc>
        <w:tc>
          <w:tcPr>
            <w:tcW w:w="1548" w:type="dxa"/>
            <w:tcBorders>
              <w:top w:val="single" w:sz="6" w:space="0" w:color="000000"/>
              <w:left w:val="single" w:sz="6" w:space="0" w:color="000000"/>
              <w:bottom w:val="single" w:sz="12" w:space="0" w:color="000000"/>
              <w:right w:val="single" w:sz="6" w:space="0" w:color="000000"/>
            </w:tcBorders>
            <w:shd w:val="clear" w:color="auto" w:fill="E2EFD9"/>
          </w:tcPr>
          <w:p w14:paraId="2AE9CA6D" w14:textId="77777777" w:rsidR="00186749" w:rsidRDefault="00186749" w:rsidP="00C07660">
            <w:pPr>
              <w:jc w:val="center"/>
              <w:rPr>
                <w:rFonts w:eastAsia="Arial" w:cs="Arial"/>
                <w:b/>
                <w:color w:val="000000"/>
              </w:rPr>
            </w:pPr>
            <w:r>
              <w:rPr>
                <w:rFonts w:eastAsia="Arial" w:cs="Arial"/>
                <w:b/>
                <w:color w:val="000000"/>
              </w:rPr>
              <w:t>Lugar</w:t>
            </w:r>
          </w:p>
        </w:tc>
      </w:tr>
      <w:tr w:rsidR="00186749" w14:paraId="56734FD0" w14:textId="77777777" w:rsidTr="00C07660">
        <w:trPr>
          <w:trHeight w:val="322"/>
        </w:trPr>
        <w:tc>
          <w:tcPr>
            <w:tcW w:w="2522" w:type="dxa"/>
            <w:tcBorders>
              <w:top w:val="nil"/>
              <w:left w:val="single" w:sz="6" w:space="0" w:color="000000"/>
              <w:bottom w:val="single" w:sz="6" w:space="0" w:color="000000"/>
              <w:right w:val="single" w:sz="6" w:space="0" w:color="000000"/>
            </w:tcBorders>
          </w:tcPr>
          <w:p w14:paraId="4A2FB532" w14:textId="77777777" w:rsidR="00186749" w:rsidRDefault="00186749" w:rsidP="00C07660">
            <w:pPr>
              <w:jc w:val="center"/>
              <w:rPr>
                <w:rFonts w:eastAsia="Arial" w:cs="Arial"/>
                <w:color w:val="000000"/>
              </w:rPr>
            </w:pPr>
            <w:r>
              <w:rPr>
                <w:rFonts w:eastAsia="Arial" w:cs="Arial"/>
                <w:color w:val="000000"/>
              </w:rPr>
              <w:t>1</w:t>
            </w:r>
          </w:p>
        </w:tc>
        <w:tc>
          <w:tcPr>
            <w:tcW w:w="1231" w:type="dxa"/>
            <w:vMerge w:val="restart"/>
            <w:tcBorders>
              <w:top w:val="nil"/>
              <w:left w:val="single" w:sz="6" w:space="0" w:color="000000"/>
              <w:right w:val="single" w:sz="6" w:space="0" w:color="000000"/>
            </w:tcBorders>
          </w:tcPr>
          <w:p w14:paraId="23472B83" w14:textId="77777777" w:rsidR="00186749" w:rsidRDefault="00186749" w:rsidP="00C07660">
            <w:pPr>
              <w:jc w:val="center"/>
              <w:rPr>
                <w:rFonts w:eastAsia="Arial" w:cs="Arial"/>
                <w:color w:val="000000"/>
              </w:rPr>
            </w:pPr>
          </w:p>
          <w:p w14:paraId="7C5D0D17" w14:textId="77777777" w:rsidR="00186749" w:rsidRDefault="00186749" w:rsidP="00C07660">
            <w:pPr>
              <w:jc w:val="center"/>
              <w:rPr>
                <w:rFonts w:eastAsia="Arial" w:cs="Arial"/>
                <w:color w:val="000000"/>
              </w:rPr>
            </w:pPr>
          </w:p>
          <w:p w14:paraId="18CC16A8" w14:textId="77777777" w:rsidR="00186749" w:rsidRDefault="00186749" w:rsidP="00C07660">
            <w:pPr>
              <w:rPr>
                <w:rFonts w:eastAsia="Arial" w:cs="Arial"/>
                <w:color w:val="000000"/>
              </w:rPr>
            </w:pPr>
          </w:p>
          <w:p w14:paraId="688DE2B3" w14:textId="77777777" w:rsidR="00186749" w:rsidRDefault="00186749" w:rsidP="00C07660">
            <w:pPr>
              <w:jc w:val="center"/>
              <w:rPr>
                <w:rFonts w:eastAsia="Arial" w:cs="Arial"/>
                <w:color w:val="000000"/>
              </w:rPr>
            </w:pPr>
            <w:r>
              <w:rPr>
                <w:rFonts w:eastAsia="Arial" w:cs="Arial"/>
                <w:color w:val="000000"/>
              </w:rPr>
              <w:t xml:space="preserve">Ordinaria </w:t>
            </w:r>
          </w:p>
        </w:tc>
        <w:tc>
          <w:tcPr>
            <w:tcW w:w="2667" w:type="dxa"/>
            <w:tcBorders>
              <w:top w:val="nil"/>
              <w:left w:val="single" w:sz="6" w:space="0" w:color="000000"/>
              <w:bottom w:val="single" w:sz="6" w:space="0" w:color="000000"/>
              <w:right w:val="single" w:sz="6" w:space="0" w:color="000000"/>
            </w:tcBorders>
          </w:tcPr>
          <w:p w14:paraId="263EEBA8" w14:textId="77777777" w:rsidR="00186749" w:rsidRDefault="00186749" w:rsidP="00C07660">
            <w:pPr>
              <w:jc w:val="center"/>
              <w:rPr>
                <w:rFonts w:eastAsia="Arial" w:cs="Arial"/>
                <w:b/>
                <w:color w:val="000000"/>
              </w:rPr>
            </w:pPr>
            <w:r>
              <w:rPr>
                <w:rFonts w:eastAsia="Arial" w:cs="Arial"/>
                <w:color w:val="000000"/>
              </w:rPr>
              <w:t xml:space="preserve">25 de </w:t>
            </w:r>
            <w:r>
              <w:rPr>
                <w:rFonts w:eastAsia="Arial" w:cs="Arial"/>
                <w:b/>
                <w:color w:val="000000"/>
              </w:rPr>
              <w:t xml:space="preserve">febrero </w:t>
            </w:r>
          </w:p>
        </w:tc>
        <w:tc>
          <w:tcPr>
            <w:tcW w:w="1231" w:type="dxa"/>
            <w:vMerge w:val="restart"/>
            <w:tcBorders>
              <w:top w:val="nil"/>
              <w:left w:val="single" w:sz="6" w:space="0" w:color="000000"/>
              <w:right w:val="single" w:sz="6" w:space="0" w:color="000000"/>
            </w:tcBorders>
          </w:tcPr>
          <w:p w14:paraId="56E364D2" w14:textId="77777777" w:rsidR="00186749" w:rsidRDefault="00186749" w:rsidP="00C07660">
            <w:pPr>
              <w:jc w:val="center"/>
              <w:rPr>
                <w:rFonts w:eastAsia="Arial" w:cs="Arial"/>
                <w:color w:val="000000"/>
              </w:rPr>
            </w:pPr>
          </w:p>
          <w:p w14:paraId="6C9FAF7E" w14:textId="77777777" w:rsidR="00186749" w:rsidRDefault="00186749" w:rsidP="00C07660">
            <w:pPr>
              <w:rPr>
                <w:rFonts w:eastAsia="Arial" w:cs="Arial"/>
                <w:color w:val="000000"/>
              </w:rPr>
            </w:pPr>
          </w:p>
          <w:p w14:paraId="451C617F" w14:textId="77777777" w:rsidR="00186749" w:rsidRDefault="00186749" w:rsidP="00C07660">
            <w:pPr>
              <w:rPr>
                <w:rFonts w:eastAsia="Arial" w:cs="Arial"/>
                <w:color w:val="000000"/>
              </w:rPr>
            </w:pPr>
          </w:p>
          <w:p w14:paraId="6CD50E30" w14:textId="77777777" w:rsidR="00186749" w:rsidRDefault="00186749" w:rsidP="00C07660">
            <w:pPr>
              <w:jc w:val="center"/>
              <w:rPr>
                <w:rFonts w:eastAsia="Arial" w:cs="Arial"/>
                <w:color w:val="000000"/>
              </w:rPr>
            </w:pPr>
            <w:r>
              <w:rPr>
                <w:rFonts w:eastAsia="Arial" w:cs="Arial"/>
                <w:color w:val="000000"/>
              </w:rPr>
              <w:t>10:00 hrs.</w:t>
            </w:r>
          </w:p>
        </w:tc>
        <w:tc>
          <w:tcPr>
            <w:tcW w:w="1548" w:type="dxa"/>
            <w:vMerge w:val="restart"/>
            <w:tcBorders>
              <w:top w:val="nil"/>
              <w:left w:val="single" w:sz="6" w:space="0" w:color="000000"/>
              <w:right w:val="single" w:sz="6" w:space="0" w:color="000000"/>
            </w:tcBorders>
          </w:tcPr>
          <w:p w14:paraId="448E4B76" w14:textId="77777777" w:rsidR="00186749" w:rsidRDefault="00186749" w:rsidP="00C07660">
            <w:pPr>
              <w:jc w:val="center"/>
              <w:rPr>
                <w:rFonts w:eastAsia="Arial" w:cs="Arial"/>
                <w:color w:val="000000"/>
              </w:rPr>
            </w:pPr>
          </w:p>
          <w:p w14:paraId="21F1C9CE" w14:textId="77777777" w:rsidR="00186749" w:rsidRDefault="00186749" w:rsidP="00C07660">
            <w:pPr>
              <w:jc w:val="center"/>
              <w:rPr>
                <w:rFonts w:eastAsia="Arial" w:cs="Arial"/>
                <w:color w:val="000000"/>
              </w:rPr>
            </w:pPr>
          </w:p>
          <w:p w14:paraId="53D7B8CE" w14:textId="77777777" w:rsidR="00186749" w:rsidRDefault="00186749" w:rsidP="00C07660">
            <w:pPr>
              <w:rPr>
                <w:rFonts w:eastAsia="Arial" w:cs="Arial"/>
                <w:color w:val="000000"/>
              </w:rPr>
            </w:pPr>
          </w:p>
          <w:p w14:paraId="15D98FEE" w14:textId="77777777" w:rsidR="00186749" w:rsidRDefault="00186749" w:rsidP="00C07660">
            <w:pPr>
              <w:jc w:val="center"/>
              <w:rPr>
                <w:rFonts w:eastAsia="Arial" w:cs="Arial"/>
                <w:color w:val="000000"/>
              </w:rPr>
            </w:pPr>
            <w:r>
              <w:rPr>
                <w:rFonts w:eastAsia="Arial" w:cs="Arial"/>
                <w:color w:val="000000"/>
              </w:rPr>
              <w:t>SESAJ</w:t>
            </w:r>
          </w:p>
        </w:tc>
      </w:tr>
      <w:tr w:rsidR="00186749" w14:paraId="53981742" w14:textId="77777777" w:rsidTr="00C07660">
        <w:trPr>
          <w:trHeight w:val="290"/>
        </w:trPr>
        <w:tc>
          <w:tcPr>
            <w:tcW w:w="2522" w:type="dxa"/>
            <w:tcBorders>
              <w:top w:val="single" w:sz="6" w:space="0" w:color="000000"/>
              <w:left w:val="single" w:sz="6" w:space="0" w:color="000000"/>
              <w:bottom w:val="single" w:sz="6" w:space="0" w:color="000000"/>
              <w:right w:val="single" w:sz="6" w:space="0" w:color="000000"/>
            </w:tcBorders>
          </w:tcPr>
          <w:p w14:paraId="20C9BACD" w14:textId="77777777" w:rsidR="00186749" w:rsidRDefault="00186749" w:rsidP="00C07660">
            <w:pPr>
              <w:jc w:val="center"/>
              <w:rPr>
                <w:rFonts w:eastAsia="Arial" w:cs="Arial"/>
                <w:color w:val="000000"/>
              </w:rPr>
            </w:pPr>
            <w:r>
              <w:rPr>
                <w:rFonts w:eastAsia="Arial" w:cs="Arial"/>
                <w:color w:val="000000"/>
              </w:rPr>
              <w:t>2</w:t>
            </w:r>
          </w:p>
        </w:tc>
        <w:tc>
          <w:tcPr>
            <w:tcW w:w="1231" w:type="dxa"/>
            <w:vMerge/>
            <w:tcBorders>
              <w:top w:val="nil"/>
              <w:left w:val="single" w:sz="6" w:space="0" w:color="000000"/>
              <w:right w:val="single" w:sz="6" w:space="0" w:color="000000"/>
            </w:tcBorders>
          </w:tcPr>
          <w:p w14:paraId="761014F3" w14:textId="77777777" w:rsidR="00186749" w:rsidRDefault="00186749" w:rsidP="00C07660">
            <w:pPr>
              <w:widowControl w:val="0"/>
              <w:pBdr>
                <w:top w:val="nil"/>
                <w:left w:val="nil"/>
                <w:bottom w:val="nil"/>
                <w:right w:val="nil"/>
                <w:between w:val="nil"/>
              </w:pBdr>
              <w:spacing w:line="276" w:lineRule="auto"/>
              <w:rPr>
                <w:rFonts w:eastAsia="Arial" w:cs="Arial"/>
                <w:color w:val="000000"/>
              </w:rPr>
            </w:pPr>
          </w:p>
        </w:tc>
        <w:tc>
          <w:tcPr>
            <w:tcW w:w="2667" w:type="dxa"/>
            <w:tcBorders>
              <w:top w:val="single" w:sz="6" w:space="0" w:color="000000"/>
              <w:left w:val="single" w:sz="6" w:space="0" w:color="000000"/>
              <w:bottom w:val="single" w:sz="6" w:space="0" w:color="000000"/>
              <w:right w:val="single" w:sz="6" w:space="0" w:color="000000"/>
            </w:tcBorders>
          </w:tcPr>
          <w:p w14:paraId="62009D3F" w14:textId="77777777" w:rsidR="00186749" w:rsidRDefault="00186749" w:rsidP="00C07660">
            <w:pPr>
              <w:jc w:val="center"/>
              <w:rPr>
                <w:rFonts w:eastAsia="Arial" w:cs="Arial"/>
                <w:b/>
                <w:color w:val="000000"/>
              </w:rPr>
            </w:pPr>
            <w:r>
              <w:rPr>
                <w:rFonts w:eastAsia="Arial" w:cs="Arial"/>
                <w:color w:val="000000"/>
              </w:rPr>
              <w:t xml:space="preserve">21 de </w:t>
            </w:r>
            <w:r>
              <w:rPr>
                <w:rFonts w:eastAsia="Arial" w:cs="Arial"/>
                <w:b/>
                <w:color w:val="000000"/>
              </w:rPr>
              <w:t>abril</w:t>
            </w:r>
          </w:p>
        </w:tc>
        <w:tc>
          <w:tcPr>
            <w:tcW w:w="1231" w:type="dxa"/>
            <w:vMerge/>
            <w:tcBorders>
              <w:top w:val="nil"/>
              <w:left w:val="single" w:sz="6" w:space="0" w:color="000000"/>
              <w:right w:val="single" w:sz="6" w:space="0" w:color="000000"/>
            </w:tcBorders>
          </w:tcPr>
          <w:p w14:paraId="4C9D542D" w14:textId="77777777" w:rsidR="00186749" w:rsidRDefault="00186749" w:rsidP="00C07660">
            <w:pPr>
              <w:widowControl w:val="0"/>
              <w:pBdr>
                <w:top w:val="nil"/>
                <w:left w:val="nil"/>
                <w:bottom w:val="nil"/>
                <w:right w:val="nil"/>
                <w:between w:val="nil"/>
              </w:pBdr>
              <w:spacing w:line="276" w:lineRule="auto"/>
              <w:rPr>
                <w:rFonts w:eastAsia="Arial" w:cs="Arial"/>
                <w:b/>
                <w:color w:val="000000"/>
              </w:rPr>
            </w:pPr>
          </w:p>
        </w:tc>
        <w:tc>
          <w:tcPr>
            <w:tcW w:w="1548" w:type="dxa"/>
            <w:vMerge/>
            <w:tcBorders>
              <w:top w:val="nil"/>
              <w:left w:val="single" w:sz="6" w:space="0" w:color="000000"/>
              <w:right w:val="single" w:sz="6" w:space="0" w:color="000000"/>
            </w:tcBorders>
          </w:tcPr>
          <w:p w14:paraId="4AB31777" w14:textId="77777777" w:rsidR="00186749" w:rsidRDefault="00186749" w:rsidP="00C07660">
            <w:pPr>
              <w:widowControl w:val="0"/>
              <w:pBdr>
                <w:top w:val="nil"/>
                <w:left w:val="nil"/>
                <w:bottom w:val="nil"/>
                <w:right w:val="nil"/>
                <w:between w:val="nil"/>
              </w:pBdr>
              <w:spacing w:line="276" w:lineRule="auto"/>
              <w:rPr>
                <w:rFonts w:eastAsia="Arial" w:cs="Arial"/>
                <w:b/>
                <w:color w:val="000000"/>
              </w:rPr>
            </w:pPr>
          </w:p>
        </w:tc>
      </w:tr>
      <w:tr w:rsidR="00186749" w14:paraId="0F78BF31" w14:textId="77777777" w:rsidTr="00C07660">
        <w:trPr>
          <w:trHeight w:val="290"/>
        </w:trPr>
        <w:tc>
          <w:tcPr>
            <w:tcW w:w="2522" w:type="dxa"/>
            <w:tcBorders>
              <w:top w:val="single" w:sz="6" w:space="0" w:color="000000"/>
              <w:left w:val="single" w:sz="6" w:space="0" w:color="000000"/>
              <w:bottom w:val="single" w:sz="6" w:space="0" w:color="000000"/>
              <w:right w:val="single" w:sz="6" w:space="0" w:color="000000"/>
            </w:tcBorders>
          </w:tcPr>
          <w:p w14:paraId="0CC10F74" w14:textId="77777777" w:rsidR="00186749" w:rsidRDefault="00186749" w:rsidP="00C07660">
            <w:pPr>
              <w:jc w:val="center"/>
              <w:rPr>
                <w:rFonts w:eastAsia="Arial" w:cs="Arial"/>
                <w:color w:val="000000"/>
              </w:rPr>
            </w:pPr>
            <w:r>
              <w:rPr>
                <w:rFonts w:eastAsia="Arial" w:cs="Arial"/>
                <w:color w:val="000000"/>
              </w:rPr>
              <w:t>3</w:t>
            </w:r>
          </w:p>
        </w:tc>
        <w:tc>
          <w:tcPr>
            <w:tcW w:w="1231" w:type="dxa"/>
            <w:vMerge/>
            <w:tcBorders>
              <w:top w:val="nil"/>
              <w:left w:val="single" w:sz="6" w:space="0" w:color="000000"/>
              <w:right w:val="single" w:sz="6" w:space="0" w:color="000000"/>
            </w:tcBorders>
          </w:tcPr>
          <w:p w14:paraId="657A8BC3" w14:textId="77777777" w:rsidR="00186749" w:rsidRDefault="00186749" w:rsidP="00C07660">
            <w:pPr>
              <w:widowControl w:val="0"/>
              <w:pBdr>
                <w:top w:val="nil"/>
                <w:left w:val="nil"/>
                <w:bottom w:val="nil"/>
                <w:right w:val="nil"/>
                <w:between w:val="nil"/>
              </w:pBdr>
              <w:spacing w:line="276" w:lineRule="auto"/>
              <w:rPr>
                <w:rFonts w:eastAsia="Arial" w:cs="Arial"/>
                <w:color w:val="000000"/>
              </w:rPr>
            </w:pPr>
          </w:p>
        </w:tc>
        <w:tc>
          <w:tcPr>
            <w:tcW w:w="2667" w:type="dxa"/>
            <w:tcBorders>
              <w:top w:val="single" w:sz="6" w:space="0" w:color="000000"/>
              <w:left w:val="single" w:sz="6" w:space="0" w:color="000000"/>
              <w:bottom w:val="single" w:sz="6" w:space="0" w:color="000000"/>
              <w:right w:val="single" w:sz="6" w:space="0" w:color="000000"/>
            </w:tcBorders>
          </w:tcPr>
          <w:p w14:paraId="2950A1A4" w14:textId="77777777" w:rsidR="00186749" w:rsidRDefault="00186749" w:rsidP="00C07660">
            <w:pPr>
              <w:jc w:val="center"/>
              <w:rPr>
                <w:rFonts w:eastAsia="Arial" w:cs="Arial"/>
                <w:b/>
                <w:color w:val="000000"/>
              </w:rPr>
            </w:pPr>
            <w:r>
              <w:rPr>
                <w:rFonts w:eastAsia="Arial" w:cs="Arial"/>
                <w:color w:val="000000"/>
              </w:rPr>
              <w:t xml:space="preserve">2 de </w:t>
            </w:r>
            <w:r>
              <w:rPr>
                <w:rFonts w:eastAsia="Arial" w:cs="Arial"/>
                <w:b/>
                <w:color w:val="000000"/>
              </w:rPr>
              <w:t>junio</w:t>
            </w:r>
          </w:p>
        </w:tc>
        <w:tc>
          <w:tcPr>
            <w:tcW w:w="1231" w:type="dxa"/>
            <w:vMerge/>
            <w:tcBorders>
              <w:top w:val="nil"/>
              <w:left w:val="single" w:sz="6" w:space="0" w:color="000000"/>
              <w:right w:val="single" w:sz="6" w:space="0" w:color="000000"/>
            </w:tcBorders>
          </w:tcPr>
          <w:p w14:paraId="1555D657" w14:textId="77777777" w:rsidR="00186749" w:rsidRDefault="00186749" w:rsidP="00C07660">
            <w:pPr>
              <w:widowControl w:val="0"/>
              <w:pBdr>
                <w:top w:val="nil"/>
                <w:left w:val="nil"/>
                <w:bottom w:val="nil"/>
                <w:right w:val="nil"/>
                <w:between w:val="nil"/>
              </w:pBdr>
              <w:spacing w:line="276" w:lineRule="auto"/>
              <w:rPr>
                <w:rFonts w:eastAsia="Arial" w:cs="Arial"/>
                <w:b/>
                <w:color w:val="000000"/>
              </w:rPr>
            </w:pPr>
          </w:p>
        </w:tc>
        <w:tc>
          <w:tcPr>
            <w:tcW w:w="1548" w:type="dxa"/>
            <w:vMerge/>
            <w:tcBorders>
              <w:top w:val="nil"/>
              <w:left w:val="single" w:sz="6" w:space="0" w:color="000000"/>
              <w:right w:val="single" w:sz="6" w:space="0" w:color="000000"/>
            </w:tcBorders>
          </w:tcPr>
          <w:p w14:paraId="190C7F34" w14:textId="77777777" w:rsidR="00186749" w:rsidRDefault="00186749" w:rsidP="00C07660">
            <w:pPr>
              <w:widowControl w:val="0"/>
              <w:pBdr>
                <w:top w:val="nil"/>
                <w:left w:val="nil"/>
                <w:bottom w:val="nil"/>
                <w:right w:val="nil"/>
                <w:between w:val="nil"/>
              </w:pBdr>
              <w:spacing w:line="276" w:lineRule="auto"/>
              <w:rPr>
                <w:rFonts w:eastAsia="Arial" w:cs="Arial"/>
                <w:b/>
                <w:color w:val="000000"/>
              </w:rPr>
            </w:pPr>
          </w:p>
        </w:tc>
      </w:tr>
      <w:tr w:rsidR="00186749" w14:paraId="49CFE7E6" w14:textId="77777777" w:rsidTr="00C07660">
        <w:trPr>
          <w:trHeight w:val="290"/>
        </w:trPr>
        <w:tc>
          <w:tcPr>
            <w:tcW w:w="2522" w:type="dxa"/>
            <w:tcBorders>
              <w:top w:val="single" w:sz="6" w:space="0" w:color="000000"/>
              <w:left w:val="single" w:sz="6" w:space="0" w:color="000000"/>
              <w:bottom w:val="single" w:sz="6" w:space="0" w:color="000000"/>
              <w:right w:val="single" w:sz="6" w:space="0" w:color="000000"/>
            </w:tcBorders>
          </w:tcPr>
          <w:p w14:paraId="264B715A" w14:textId="77777777" w:rsidR="00186749" w:rsidRDefault="00186749" w:rsidP="00C07660">
            <w:pPr>
              <w:jc w:val="center"/>
              <w:rPr>
                <w:rFonts w:eastAsia="Arial" w:cs="Arial"/>
                <w:color w:val="000000"/>
              </w:rPr>
            </w:pPr>
            <w:r>
              <w:rPr>
                <w:rFonts w:eastAsia="Arial" w:cs="Arial"/>
                <w:color w:val="000000"/>
              </w:rPr>
              <w:t>4</w:t>
            </w:r>
          </w:p>
        </w:tc>
        <w:tc>
          <w:tcPr>
            <w:tcW w:w="1231" w:type="dxa"/>
            <w:vMerge/>
            <w:tcBorders>
              <w:top w:val="nil"/>
              <w:left w:val="single" w:sz="6" w:space="0" w:color="000000"/>
              <w:right w:val="single" w:sz="6" w:space="0" w:color="000000"/>
            </w:tcBorders>
          </w:tcPr>
          <w:p w14:paraId="3748462A" w14:textId="77777777" w:rsidR="00186749" w:rsidRDefault="00186749" w:rsidP="00C07660">
            <w:pPr>
              <w:widowControl w:val="0"/>
              <w:pBdr>
                <w:top w:val="nil"/>
                <w:left w:val="nil"/>
                <w:bottom w:val="nil"/>
                <w:right w:val="nil"/>
                <w:between w:val="nil"/>
              </w:pBdr>
              <w:spacing w:line="276" w:lineRule="auto"/>
              <w:rPr>
                <w:rFonts w:eastAsia="Arial" w:cs="Arial"/>
                <w:color w:val="000000"/>
              </w:rPr>
            </w:pPr>
          </w:p>
        </w:tc>
        <w:tc>
          <w:tcPr>
            <w:tcW w:w="2667" w:type="dxa"/>
            <w:tcBorders>
              <w:top w:val="single" w:sz="6" w:space="0" w:color="000000"/>
              <w:left w:val="single" w:sz="6" w:space="0" w:color="000000"/>
              <w:bottom w:val="single" w:sz="6" w:space="0" w:color="000000"/>
              <w:right w:val="single" w:sz="6" w:space="0" w:color="000000"/>
            </w:tcBorders>
          </w:tcPr>
          <w:p w14:paraId="6AB88323" w14:textId="77777777" w:rsidR="00186749" w:rsidRDefault="00186749" w:rsidP="00C07660">
            <w:pPr>
              <w:jc w:val="center"/>
              <w:rPr>
                <w:rFonts w:eastAsia="Arial" w:cs="Arial"/>
                <w:b/>
                <w:color w:val="000000"/>
              </w:rPr>
            </w:pPr>
            <w:r>
              <w:rPr>
                <w:rFonts w:eastAsia="Arial" w:cs="Arial"/>
                <w:color w:val="000000"/>
              </w:rPr>
              <w:t>21 de</w:t>
            </w:r>
            <w:r>
              <w:rPr>
                <w:rFonts w:eastAsia="Arial" w:cs="Arial"/>
                <w:b/>
                <w:color w:val="000000"/>
              </w:rPr>
              <w:t xml:space="preserve"> julio </w:t>
            </w:r>
          </w:p>
        </w:tc>
        <w:tc>
          <w:tcPr>
            <w:tcW w:w="1231" w:type="dxa"/>
            <w:vMerge/>
            <w:tcBorders>
              <w:top w:val="nil"/>
              <w:left w:val="single" w:sz="6" w:space="0" w:color="000000"/>
              <w:right w:val="single" w:sz="6" w:space="0" w:color="000000"/>
            </w:tcBorders>
          </w:tcPr>
          <w:p w14:paraId="438BB34D" w14:textId="77777777" w:rsidR="00186749" w:rsidRDefault="00186749" w:rsidP="00C07660">
            <w:pPr>
              <w:widowControl w:val="0"/>
              <w:pBdr>
                <w:top w:val="nil"/>
                <w:left w:val="nil"/>
                <w:bottom w:val="nil"/>
                <w:right w:val="nil"/>
                <w:between w:val="nil"/>
              </w:pBdr>
              <w:spacing w:line="276" w:lineRule="auto"/>
              <w:rPr>
                <w:rFonts w:eastAsia="Arial" w:cs="Arial"/>
                <w:b/>
                <w:color w:val="000000"/>
              </w:rPr>
            </w:pPr>
          </w:p>
        </w:tc>
        <w:tc>
          <w:tcPr>
            <w:tcW w:w="1548" w:type="dxa"/>
            <w:vMerge/>
            <w:tcBorders>
              <w:top w:val="nil"/>
              <w:left w:val="single" w:sz="6" w:space="0" w:color="000000"/>
              <w:right w:val="single" w:sz="6" w:space="0" w:color="000000"/>
            </w:tcBorders>
          </w:tcPr>
          <w:p w14:paraId="616A65CA" w14:textId="77777777" w:rsidR="00186749" w:rsidRDefault="00186749" w:rsidP="00C07660">
            <w:pPr>
              <w:widowControl w:val="0"/>
              <w:pBdr>
                <w:top w:val="nil"/>
                <w:left w:val="nil"/>
                <w:bottom w:val="nil"/>
                <w:right w:val="nil"/>
                <w:between w:val="nil"/>
              </w:pBdr>
              <w:spacing w:line="276" w:lineRule="auto"/>
              <w:rPr>
                <w:rFonts w:eastAsia="Arial" w:cs="Arial"/>
                <w:b/>
                <w:color w:val="000000"/>
              </w:rPr>
            </w:pPr>
          </w:p>
        </w:tc>
      </w:tr>
      <w:tr w:rsidR="00186749" w14:paraId="4189BE7E" w14:textId="77777777" w:rsidTr="00C07660">
        <w:trPr>
          <w:trHeight w:val="290"/>
        </w:trPr>
        <w:tc>
          <w:tcPr>
            <w:tcW w:w="2522" w:type="dxa"/>
            <w:tcBorders>
              <w:top w:val="single" w:sz="6" w:space="0" w:color="000000"/>
              <w:left w:val="single" w:sz="6" w:space="0" w:color="000000"/>
              <w:bottom w:val="single" w:sz="6" w:space="0" w:color="000000"/>
              <w:right w:val="single" w:sz="6" w:space="0" w:color="000000"/>
            </w:tcBorders>
          </w:tcPr>
          <w:p w14:paraId="48004383" w14:textId="77777777" w:rsidR="00186749" w:rsidRDefault="00186749" w:rsidP="00C07660">
            <w:pPr>
              <w:jc w:val="center"/>
              <w:rPr>
                <w:rFonts w:eastAsia="Arial" w:cs="Arial"/>
                <w:color w:val="000000"/>
              </w:rPr>
            </w:pPr>
            <w:r>
              <w:rPr>
                <w:rFonts w:eastAsia="Arial" w:cs="Arial"/>
                <w:color w:val="000000"/>
              </w:rPr>
              <w:t>5</w:t>
            </w:r>
          </w:p>
        </w:tc>
        <w:tc>
          <w:tcPr>
            <w:tcW w:w="1231" w:type="dxa"/>
            <w:vMerge/>
            <w:tcBorders>
              <w:top w:val="nil"/>
              <w:left w:val="single" w:sz="6" w:space="0" w:color="000000"/>
              <w:right w:val="single" w:sz="6" w:space="0" w:color="000000"/>
            </w:tcBorders>
          </w:tcPr>
          <w:p w14:paraId="4D2AD414" w14:textId="77777777" w:rsidR="00186749" w:rsidRDefault="00186749" w:rsidP="00C07660">
            <w:pPr>
              <w:widowControl w:val="0"/>
              <w:pBdr>
                <w:top w:val="nil"/>
                <w:left w:val="nil"/>
                <w:bottom w:val="nil"/>
                <w:right w:val="nil"/>
                <w:between w:val="nil"/>
              </w:pBdr>
              <w:spacing w:line="276" w:lineRule="auto"/>
              <w:rPr>
                <w:rFonts w:eastAsia="Arial" w:cs="Arial"/>
                <w:color w:val="000000"/>
              </w:rPr>
            </w:pPr>
          </w:p>
        </w:tc>
        <w:tc>
          <w:tcPr>
            <w:tcW w:w="2667" w:type="dxa"/>
            <w:tcBorders>
              <w:top w:val="single" w:sz="6" w:space="0" w:color="000000"/>
              <w:left w:val="single" w:sz="6" w:space="0" w:color="000000"/>
              <w:bottom w:val="single" w:sz="6" w:space="0" w:color="000000"/>
              <w:right w:val="single" w:sz="6" w:space="0" w:color="000000"/>
            </w:tcBorders>
          </w:tcPr>
          <w:p w14:paraId="7F16D4C9" w14:textId="77777777" w:rsidR="00186749" w:rsidRDefault="00186749" w:rsidP="00C07660">
            <w:pPr>
              <w:jc w:val="center"/>
              <w:rPr>
                <w:rFonts w:eastAsia="Arial" w:cs="Arial"/>
                <w:color w:val="000000"/>
              </w:rPr>
            </w:pPr>
            <w:r>
              <w:rPr>
                <w:rFonts w:eastAsia="Arial" w:cs="Arial"/>
                <w:color w:val="000000"/>
              </w:rPr>
              <w:t xml:space="preserve">6 de </w:t>
            </w:r>
            <w:r>
              <w:rPr>
                <w:rFonts w:eastAsia="Arial" w:cs="Arial"/>
                <w:b/>
                <w:color w:val="000000"/>
              </w:rPr>
              <w:t>octubre</w:t>
            </w:r>
            <w:r>
              <w:rPr>
                <w:rFonts w:eastAsia="Arial" w:cs="Arial"/>
                <w:color w:val="000000"/>
              </w:rPr>
              <w:t xml:space="preserve"> </w:t>
            </w:r>
          </w:p>
        </w:tc>
        <w:tc>
          <w:tcPr>
            <w:tcW w:w="1231" w:type="dxa"/>
            <w:vMerge/>
            <w:tcBorders>
              <w:top w:val="nil"/>
              <w:left w:val="single" w:sz="6" w:space="0" w:color="000000"/>
              <w:right w:val="single" w:sz="6" w:space="0" w:color="000000"/>
            </w:tcBorders>
          </w:tcPr>
          <w:p w14:paraId="29EE14D6" w14:textId="77777777" w:rsidR="00186749" w:rsidRDefault="00186749" w:rsidP="00C07660">
            <w:pPr>
              <w:widowControl w:val="0"/>
              <w:pBdr>
                <w:top w:val="nil"/>
                <w:left w:val="nil"/>
                <w:bottom w:val="nil"/>
                <w:right w:val="nil"/>
                <w:between w:val="nil"/>
              </w:pBdr>
              <w:spacing w:line="276" w:lineRule="auto"/>
              <w:rPr>
                <w:rFonts w:eastAsia="Arial" w:cs="Arial"/>
                <w:color w:val="000000"/>
              </w:rPr>
            </w:pPr>
          </w:p>
        </w:tc>
        <w:tc>
          <w:tcPr>
            <w:tcW w:w="1548" w:type="dxa"/>
            <w:vMerge/>
            <w:tcBorders>
              <w:top w:val="nil"/>
              <w:left w:val="single" w:sz="6" w:space="0" w:color="000000"/>
              <w:right w:val="single" w:sz="6" w:space="0" w:color="000000"/>
            </w:tcBorders>
          </w:tcPr>
          <w:p w14:paraId="2DA22C49" w14:textId="77777777" w:rsidR="00186749" w:rsidRDefault="00186749" w:rsidP="00C07660">
            <w:pPr>
              <w:widowControl w:val="0"/>
              <w:pBdr>
                <w:top w:val="nil"/>
                <w:left w:val="nil"/>
                <w:bottom w:val="nil"/>
                <w:right w:val="nil"/>
                <w:between w:val="nil"/>
              </w:pBdr>
              <w:spacing w:line="276" w:lineRule="auto"/>
              <w:rPr>
                <w:rFonts w:eastAsia="Arial" w:cs="Arial"/>
                <w:color w:val="000000"/>
              </w:rPr>
            </w:pPr>
          </w:p>
        </w:tc>
      </w:tr>
      <w:tr w:rsidR="00186749" w14:paraId="65BB5716" w14:textId="77777777" w:rsidTr="00703645">
        <w:trPr>
          <w:trHeight w:val="290"/>
        </w:trPr>
        <w:tc>
          <w:tcPr>
            <w:tcW w:w="2522" w:type="dxa"/>
            <w:tcBorders>
              <w:top w:val="single" w:sz="6" w:space="0" w:color="000000"/>
              <w:left w:val="single" w:sz="6" w:space="0" w:color="000000"/>
              <w:bottom w:val="single" w:sz="4" w:space="0" w:color="auto"/>
              <w:right w:val="single" w:sz="6" w:space="0" w:color="000000"/>
            </w:tcBorders>
          </w:tcPr>
          <w:p w14:paraId="5C5DB6AC" w14:textId="77777777" w:rsidR="00186749" w:rsidRDefault="00186749" w:rsidP="00C07660">
            <w:pPr>
              <w:jc w:val="center"/>
              <w:rPr>
                <w:rFonts w:eastAsia="Arial" w:cs="Arial"/>
                <w:color w:val="000000"/>
              </w:rPr>
            </w:pPr>
            <w:r>
              <w:rPr>
                <w:rFonts w:eastAsia="Arial" w:cs="Arial"/>
                <w:color w:val="000000"/>
              </w:rPr>
              <w:t>6</w:t>
            </w:r>
          </w:p>
        </w:tc>
        <w:tc>
          <w:tcPr>
            <w:tcW w:w="1231" w:type="dxa"/>
            <w:vMerge/>
            <w:tcBorders>
              <w:top w:val="nil"/>
              <w:left w:val="single" w:sz="6" w:space="0" w:color="000000"/>
              <w:bottom w:val="single" w:sz="4" w:space="0" w:color="auto"/>
              <w:right w:val="single" w:sz="6" w:space="0" w:color="000000"/>
            </w:tcBorders>
          </w:tcPr>
          <w:p w14:paraId="1235C897" w14:textId="77777777" w:rsidR="00186749" w:rsidRDefault="00186749" w:rsidP="00C07660">
            <w:pPr>
              <w:widowControl w:val="0"/>
              <w:pBdr>
                <w:top w:val="nil"/>
                <w:left w:val="nil"/>
                <w:bottom w:val="nil"/>
                <w:right w:val="nil"/>
                <w:between w:val="nil"/>
              </w:pBdr>
              <w:spacing w:line="276" w:lineRule="auto"/>
              <w:rPr>
                <w:rFonts w:eastAsia="Arial" w:cs="Arial"/>
                <w:color w:val="000000"/>
              </w:rPr>
            </w:pPr>
          </w:p>
        </w:tc>
        <w:tc>
          <w:tcPr>
            <w:tcW w:w="2667" w:type="dxa"/>
            <w:tcBorders>
              <w:top w:val="single" w:sz="6" w:space="0" w:color="000000"/>
              <w:left w:val="single" w:sz="6" w:space="0" w:color="000000"/>
              <w:bottom w:val="single" w:sz="4" w:space="0" w:color="auto"/>
              <w:right w:val="single" w:sz="6" w:space="0" w:color="000000"/>
            </w:tcBorders>
          </w:tcPr>
          <w:p w14:paraId="345D161C" w14:textId="77777777" w:rsidR="00186749" w:rsidRDefault="00186749" w:rsidP="00C07660">
            <w:pPr>
              <w:jc w:val="center"/>
              <w:rPr>
                <w:rFonts w:eastAsia="Arial" w:cs="Arial"/>
                <w:color w:val="000000"/>
              </w:rPr>
            </w:pPr>
            <w:r>
              <w:rPr>
                <w:rFonts w:eastAsia="Arial" w:cs="Arial"/>
                <w:color w:val="000000"/>
              </w:rPr>
              <w:t xml:space="preserve">24 de </w:t>
            </w:r>
            <w:r>
              <w:rPr>
                <w:rFonts w:eastAsia="Arial" w:cs="Arial"/>
                <w:b/>
                <w:color w:val="000000"/>
              </w:rPr>
              <w:t>noviembre</w:t>
            </w:r>
            <w:r>
              <w:rPr>
                <w:rFonts w:eastAsia="Arial" w:cs="Arial"/>
                <w:color w:val="000000"/>
              </w:rPr>
              <w:t xml:space="preserve"> </w:t>
            </w:r>
          </w:p>
        </w:tc>
        <w:tc>
          <w:tcPr>
            <w:tcW w:w="1231" w:type="dxa"/>
            <w:vMerge/>
            <w:tcBorders>
              <w:top w:val="nil"/>
              <w:left w:val="single" w:sz="6" w:space="0" w:color="000000"/>
              <w:bottom w:val="single" w:sz="4" w:space="0" w:color="auto"/>
              <w:right w:val="single" w:sz="6" w:space="0" w:color="000000"/>
            </w:tcBorders>
          </w:tcPr>
          <w:p w14:paraId="7225EE0F" w14:textId="77777777" w:rsidR="00186749" w:rsidRDefault="00186749" w:rsidP="00C07660">
            <w:pPr>
              <w:widowControl w:val="0"/>
              <w:pBdr>
                <w:top w:val="nil"/>
                <w:left w:val="nil"/>
                <w:bottom w:val="nil"/>
                <w:right w:val="nil"/>
                <w:between w:val="nil"/>
              </w:pBdr>
              <w:spacing w:line="276" w:lineRule="auto"/>
              <w:rPr>
                <w:rFonts w:eastAsia="Arial" w:cs="Arial"/>
                <w:color w:val="000000"/>
              </w:rPr>
            </w:pPr>
          </w:p>
        </w:tc>
        <w:tc>
          <w:tcPr>
            <w:tcW w:w="1548" w:type="dxa"/>
            <w:vMerge/>
            <w:tcBorders>
              <w:top w:val="nil"/>
              <w:left w:val="single" w:sz="6" w:space="0" w:color="000000"/>
              <w:bottom w:val="single" w:sz="4" w:space="0" w:color="auto"/>
              <w:right w:val="single" w:sz="6" w:space="0" w:color="000000"/>
            </w:tcBorders>
          </w:tcPr>
          <w:p w14:paraId="342AB700" w14:textId="77777777" w:rsidR="00186749" w:rsidRDefault="00186749" w:rsidP="00C07660">
            <w:pPr>
              <w:widowControl w:val="0"/>
              <w:pBdr>
                <w:top w:val="nil"/>
                <w:left w:val="nil"/>
                <w:bottom w:val="nil"/>
                <w:right w:val="nil"/>
                <w:between w:val="nil"/>
              </w:pBdr>
              <w:spacing w:line="276" w:lineRule="auto"/>
              <w:rPr>
                <w:rFonts w:eastAsia="Arial" w:cs="Arial"/>
                <w:color w:val="000000"/>
              </w:rPr>
            </w:pPr>
          </w:p>
        </w:tc>
      </w:tr>
    </w:tbl>
    <w:p w14:paraId="5F08C9E5" w14:textId="77777777" w:rsidR="00186749" w:rsidRDefault="00186749" w:rsidP="00186749"/>
    <w:p w14:paraId="6F364D66" w14:textId="77777777" w:rsidR="00186749" w:rsidRDefault="00186749" w:rsidP="00186749"/>
    <w:p w14:paraId="114441E3" w14:textId="77777777" w:rsidR="00186749" w:rsidRDefault="00186749" w:rsidP="00186749"/>
    <w:p w14:paraId="02A05073" w14:textId="77777777" w:rsidR="00186749" w:rsidRDefault="00186749" w:rsidP="00186749"/>
    <w:p w14:paraId="5EFC181C" w14:textId="77777777" w:rsidR="00186749" w:rsidRPr="00CD0D2D" w:rsidRDefault="00186749" w:rsidP="00CD0D2D">
      <w:pPr>
        <w:tabs>
          <w:tab w:val="left" w:pos="2610"/>
        </w:tabs>
        <w:rPr>
          <w:rFonts w:eastAsia="Arial" w:cs="Arial"/>
          <w:szCs w:val="22"/>
          <w:lang w:val="es-ES"/>
        </w:rPr>
      </w:pPr>
    </w:p>
    <w:sectPr w:rsidR="00186749" w:rsidRPr="00CD0D2D" w:rsidSect="00B22975">
      <w:headerReference w:type="default" r:id="rId12"/>
      <w:footerReference w:type="even" r:id="rId13"/>
      <w:footerReference w:type="default" r:id="rId14"/>
      <w:headerReference w:type="first" r:id="rId15"/>
      <w:footerReference w:type="first" r:id="rId16"/>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0C370" w14:textId="77777777" w:rsidR="008931D8" w:rsidRDefault="008931D8">
      <w:r>
        <w:separator/>
      </w:r>
    </w:p>
  </w:endnote>
  <w:endnote w:type="continuationSeparator" w:id="0">
    <w:p w14:paraId="1A50C167" w14:textId="77777777" w:rsidR="008931D8" w:rsidRDefault="0089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ukta Malar Medium">
    <w:altName w:val="Nirmala UI"/>
    <w:charset w:val="00"/>
    <w:family w:val="swiss"/>
    <w:pitch w:val="variable"/>
    <w:sig w:usb0="A010002F" w:usb1="40002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CCBF1"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D888A09"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6078"/>
        <w:sz w:val="16"/>
        <w:szCs w:val="16"/>
      </w:rPr>
      <w:id w:val="1763575271"/>
      <w:docPartObj>
        <w:docPartGallery w:val="Page Numbers (Bottom of Page)"/>
        <w:docPartUnique/>
      </w:docPartObj>
    </w:sdtPr>
    <w:sdtEndPr/>
    <w:sdtContent>
      <w:sdt>
        <w:sdtPr>
          <w:rPr>
            <w:color w:val="006078"/>
            <w:sz w:val="16"/>
            <w:szCs w:val="16"/>
          </w:rPr>
          <w:id w:val="1728636285"/>
          <w:docPartObj>
            <w:docPartGallery w:val="Page Numbers (Top of Page)"/>
            <w:docPartUnique/>
          </w:docPartObj>
        </w:sdtPr>
        <w:sdtEndPr/>
        <w:sdtContent>
          <w:p w14:paraId="6A9AB61D" w14:textId="1F102E66" w:rsidR="002F376F" w:rsidRPr="002F376F" w:rsidRDefault="002803DF">
            <w:pPr>
              <w:pStyle w:val="Piedepgina"/>
              <w:jc w:val="center"/>
              <w:rPr>
                <w:color w:val="006078"/>
                <w:sz w:val="16"/>
                <w:szCs w:val="16"/>
              </w:rPr>
            </w:pPr>
            <w:r>
              <w:rPr>
                <w:noProof/>
                <w:color w:val="5B9BD5"/>
                <w:sz w:val="21"/>
                <w:szCs w:val="21"/>
                <w:lang w:val="es-MX" w:eastAsia="es-MX"/>
              </w:rPr>
              <w:drawing>
                <wp:anchor distT="0" distB="0" distL="114300" distR="114300" simplePos="0" relativeHeight="251663360" behindDoc="0" locked="0" layoutInCell="1" allowOverlap="1" wp14:anchorId="375C95E8" wp14:editId="46D9C8D1">
                  <wp:simplePos x="0" y="0"/>
                  <wp:positionH relativeFrom="margin">
                    <wp:posOffset>48343</wp:posOffset>
                  </wp:positionH>
                  <wp:positionV relativeFrom="paragraph">
                    <wp:posOffset>-422054</wp:posOffset>
                  </wp:positionV>
                  <wp:extent cx="5609646" cy="45719"/>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609646" cy="45719"/>
                          </a:xfrm>
                          <a:prstGeom prst="rect">
                            <a:avLst/>
                          </a:prstGeom>
                          <a:ln/>
                        </pic:spPr>
                      </pic:pic>
                    </a:graphicData>
                  </a:graphic>
                  <wp14:sizeRelH relativeFrom="margin">
                    <wp14:pctWidth>0</wp14:pctWidth>
                  </wp14:sizeRelH>
                  <wp14:sizeRelV relativeFrom="margin">
                    <wp14:pctHeight>0</wp14:pctHeight>
                  </wp14:sizeRelV>
                </wp:anchor>
              </w:drawing>
            </w:r>
            <w:r w:rsidR="002F376F" w:rsidRPr="002F376F">
              <w:rPr>
                <w:color w:val="538135" w:themeColor="accent6" w:themeShade="BF"/>
                <w:sz w:val="16"/>
                <w:szCs w:val="16"/>
                <w:lang w:val="es-ES"/>
              </w:rPr>
              <w:t xml:space="preserve">Página </w:t>
            </w:r>
            <w:r w:rsidR="002F376F" w:rsidRPr="002F376F">
              <w:rPr>
                <w:b/>
                <w:bCs/>
                <w:color w:val="538135" w:themeColor="accent6" w:themeShade="BF"/>
                <w:sz w:val="16"/>
                <w:szCs w:val="16"/>
              </w:rPr>
              <w:fldChar w:fldCharType="begin"/>
            </w:r>
            <w:r w:rsidR="002F376F" w:rsidRPr="002F376F">
              <w:rPr>
                <w:b/>
                <w:bCs/>
                <w:color w:val="538135" w:themeColor="accent6" w:themeShade="BF"/>
                <w:sz w:val="16"/>
                <w:szCs w:val="16"/>
              </w:rPr>
              <w:instrText>PAGE</w:instrText>
            </w:r>
            <w:r w:rsidR="002F376F" w:rsidRPr="002F376F">
              <w:rPr>
                <w:b/>
                <w:bCs/>
                <w:color w:val="538135" w:themeColor="accent6" w:themeShade="BF"/>
                <w:sz w:val="16"/>
                <w:szCs w:val="16"/>
              </w:rPr>
              <w:fldChar w:fldCharType="separate"/>
            </w:r>
            <w:r w:rsidR="00546EC3">
              <w:rPr>
                <w:b/>
                <w:bCs/>
                <w:noProof/>
                <w:color w:val="538135" w:themeColor="accent6" w:themeShade="BF"/>
                <w:sz w:val="16"/>
                <w:szCs w:val="16"/>
              </w:rPr>
              <w:t>3</w:t>
            </w:r>
            <w:r w:rsidR="002F376F" w:rsidRPr="002F376F">
              <w:rPr>
                <w:b/>
                <w:bCs/>
                <w:color w:val="538135" w:themeColor="accent6" w:themeShade="BF"/>
                <w:sz w:val="16"/>
                <w:szCs w:val="16"/>
              </w:rPr>
              <w:fldChar w:fldCharType="end"/>
            </w:r>
            <w:r w:rsidR="002F376F" w:rsidRPr="002F376F">
              <w:rPr>
                <w:color w:val="538135" w:themeColor="accent6" w:themeShade="BF"/>
                <w:sz w:val="16"/>
                <w:szCs w:val="16"/>
                <w:lang w:val="es-ES"/>
              </w:rPr>
              <w:t xml:space="preserve"> de </w:t>
            </w:r>
            <w:r w:rsidR="002F376F" w:rsidRPr="002F376F">
              <w:rPr>
                <w:b/>
                <w:bCs/>
                <w:color w:val="538135" w:themeColor="accent6" w:themeShade="BF"/>
                <w:sz w:val="16"/>
                <w:szCs w:val="16"/>
              </w:rPr>
              <w:fldChar w:fldCharType="begin"/>
            </w:r>
            <w:r w:rsidR="002F376F" w:rsidRPr="002F376F">
              <w:rPr>
                <w:b/>
                <w:bCs/>
                <w:color w:val="538135" w:themeColor="accent6" w:themeShade="BF"/>
                <w:sz w:val="16"/>
                <w:szCs w:val="16"/>
              </w:rPr>
              <w:instrText>NUMPAGES</w:instrText>
            </w:r>
            <w:r w:rsidR="002F376F" w:rsidRPr="002F376F">
              <w:rPr>
                <w:b/>
                <w:bCs/>
                <w:color w:val="538135" w:themeColor="accent6" w:themeShade="BF"/>
                <w:sz w:val="16"/>
                <w:szCs w:val="16"/>
              </w:rPr>
              <w:fldChar w:fldCharType="separate"/>
            </w:r>
            <w:r w:rsidR="00546EC3">
              <w:rPr>
                <w:b/>
                <w:bCs/>
                <w:noProof/>
                <w:color w:val="538135" w:themeColor="accent6" w:themeShade="BF"/>
                <w:sz w:val="16"/>
                <w:szCs w:val="16"/>
              </w:rPr>
              <w:t>3</w:t>
            </w:r>
            <w:r w:rsidR="002F376F" w:rsidRPr="002F376F">
              <w:rPr>
                <w:b/>
                <w:bCs/>
                <w:color w:val="538135" w:themeColor="accent6" w:themeShade="BF"/>
                <w:sz w:val="16"/>
                <w:szCs w:val="16"/>
              </w:rPr>
              <w:fldChar w:fldCharType="end"/>
            </w:r>
          </w:p>
        </w:sdtContent>
      </w:sdt>
    </w:sdtContent>
  </w:sdt>
  <w:p w14:paraId="4C497384" w14:textId="77777777" w:rsidR="00BD7A12" w:rsidRDefault="00BD7A12">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6BAD9" w14:textId="70065A94" w:rsidR="00CB7A91" w:rsidRDefault="002803DF">
    <w:pPr>
      <w:pStyle w:val="Piedepgina"/>
    </w:pPr>
    <w:r>
      <w:rPr>
        <w:noProof/>
        <w:color w:val="5B9BD5"/>
        <w:sz w:val="21"/>
        <w:szCs w:val="21"/>
        <w:lang w:val="es-MX" w:eastAsia="es-MX"/>
      </w:rPr>
      <w:drawing>
        <wp:anchor distT="0" distB="0" distL="114300" distR="114300" simplePos="0" relativeHeight="251661312" behindDoc="0" locked="0" layoutInCell="1" allowOverlap="1" wp14:anchorId="3ECDE13E" wp14:editId="4B19368E">
          <wp:simplePos x="0" y="0"/>
          <wp:positionH relativeFrom="margin">
            <wp:posOffset>54223</wp:posOffset>
          </wp:positionH>
          <wp:positionV relativeFrom="paragraph">
            <wp:posOffset>-267942</wp:posOffset>
          </wp:positionV>
          <wp:extent cx="5609646" cy="4571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609646" cy="45719"/>
                  </a:xfrm>
                  <a:prstGeom prst="rect">
                    <a:avLst/>
                  </a:prstGeom>
                  <a:ln/>
                </pic:spPr>
              </pic:pic>
            </a:graphicData>
          </a:graphic>
          <wp14:sizeRelH relativeFrom="margin">
            <wp14:pctWidth>0</wp14:pctWidth>
          </wp14:sizeRelH>
          <wp14:sizeRelV relativeFrom="margin">
            <wp14:pctHeight>0</wp14:pctHeight>
          </wp14:sizeRelV>
        </wp:anchor>
      </w:drawing>
    </w:r>
  </w:p>
  <w:sdt>
    <w:sdtPr>
      <w:rPr>
        <w:color w:val="006078"/>
        <w:sz w:val="16"/>
        <w:szCs w:val="16"/>
      </w:rPr>
      <w:id w:val="-804473991"/>
      <w:docPartObj>
        <w:docPartGallery w:val="Page Numbers (Bottom of Page)"/>
        <w:docPartUnique/>
      </w:docPartObj>
    </w:sdtPr>
    <w:sdtEndPr/>
    <w:sdtContent>
      <w:sdt>
        <w:sdtPr>
          <w:rPr>
            <w:color w:val="006078"/>
            <w:sz w:val="16"/>
            <w:szCs w:val="16"/>
          </w:rPr>
          <w:id w:val="-1848007796"/>
          <w:docPartObj>
            <w:docPartGallery w:val="Page Numbers (Top of Page)"/>
            <w:docPartUnique/>
          </w:docPartObj>
        </w:sdtPr>
        <w:sdtEndPr/>
        <w:sdtContent>
          <w:p w14:paraId="5E3AE55B" w14:textId="1F630BE2" w:rsidR="00CB7A91" w:rsidRPr="00CB7A91" w:rsidRDefault="00CB7A91" w:rsidP="00CB7A91">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546EC3">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546EC3">
              <w:rPr>
                <w:b/>
                <w:bCs/>
                <w:noProof/>
                <w:color w:val="538135" w:themeColor="accent6" w:themeShade="BF"/>
                <w:sz w:val="16"/>
                <w:szCs w:val="16"/>
              </w:rPr>
              <w:t>3</w:t>
            </w:r>
            <w:r w:rsidRPr="002F376F">
              <w:rPr>
                <w:b/>
                <w:bCs/>
                <w:color w:val="538135" w:themeColor="accent6" w:themeShade="BF"/>
                <w:sz w:val="16"/>
                <w:szCs w:val="16"/>
              </w:rPr>
              <w:fldChar w:fldCharType="end"/>
            </w:r>
          </w:p>
        </w:sdtContent>
      </w:sdt>
    </w:sdtContent>
  </w:sdt>
  <w:p w14:paraId="147DBBB0" w14:textId="77777777" w:rsidR="00CB7A91" w:rsidRDefault="00CB7A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A9E06" w14:textId="77777777" w:rsidR="008931D8" w:rsidRDefault="008931D8">
      <w:r>
        <w:separator/>
      </w:r>
    </w:p>
  </w:footnote>
  <w:footnote w:type="continuationSeparator" w:id="0">
    <w:p w14:paraId="720EECA0" w14:textId="77777777" w:rsidR="008931D8" w:rsidRDefault="00893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C73D4" w14:textId="4FB1C870" w:rsidR="00B22975" w:rsidRDefault="00AE02F1" w:rsidP="00B22975">
    <w:pPr>
      <w:pStyle w:val="Ttulo1"/>
      <w:jc w:val="right"/>
      <w:rPr>
        <w:b w:val="0"/>
        <w:bCs/>
        <w:sz w:val="22"/>
        <w:szCs w:val="22"/>
      </w:rPr>
    </w:pPr>
    <w:r>
      <w:rPr>
        <w:noProof/>
        <w:color w:val="5B9BD5"/>
        <w:sz w:val="21"/>
        <w:szCs w:val="21"/>
        <w:lang w:val="es-MX" w:eastAsia="es-MX"/>
      </w:rPr>
      <w:drawing>
        <wp:anchor distT="0" distB="0" distL="114300" distR="114300" simplePos="0" relativeHeight="251657216" behindDoc="0" locked="0" layoutInCell="1" allowOverlap="1" wp14:anchorId="67E8F666" wp14:editId="1A842CC0">
          <wp:simplePos x="0" y="0"/>
          <wp:positionH relativeFrom="margin">
            <wp:posOffset>15240</wp:posOffset>
          </wp:positionH>
          <wp:positionV relativeFrom="paragraph">
            <wp:posOffset>409575</wp:posOffset>
          </wp:positionV>
          <wp:extent cx="2782198" cy="495300"/>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931" t="20373" b="22218"/>
                  <a:stretch/>
                </pic:blipFill>
                <pic:spPr bwMode="auto">
                  <a:xfrm>
                    <a:off x="0" y="0"/>
                    <a:ext cx="2797543" cy="4980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644C61" w14:textId="57BD8CCA" w:rsidR="00B22975" w:rsidRDefault="00B22975" w:rsidP="00B22975">
    <w:pPr>
      <w:pStyle w:val="Ttulo1"/>
      <w:jc w:val="right"/>
    </w:pPr>
    <w:r>
      <w:rPr>
        <w:noProof/>
        <w:color w:val="5B9BD5"/>
        <w:sz w:val="21"/>
        <w:szCs w:val="21"/>
        <w:lang w:val="es-MX" w:eastAsia="es-MX"/>
      </w:rPr>
      <w:drawing>
        <wp:anchor distT="0" distB="0" distL="114300" distR="114300" simplePos="0" relativeHeight="251659264" behindDoc="0" locked="0" layoutInCell="1" allowOverlap="1" wp14:anchorId="433EF1B8" wp14:editId="60CC0046">
          <wp:simplePos x="0" y="0"/>
          <wp:positionH relativeFrom="margin">
            <wp:posOffset>3325931</wp:posOffset>
          </wp:positionH>
          <wp:positionV relativeFrom="paragraph">
            <wp:posOffset>421005</wp:posOffset>
          </wp:positionV>
          <wp:extent cx="2289600" cy="18000"/>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 xml:space="preserve">Acta de la </w:t>
    </w:r>
    <w:r w:rsidR="002803DF">
      <w:rPr>
        <w:b w:val="0"/>
        <w:bCs/>
        <w:sz w:val="22"/>
        <w:szCs w:val="22"/>
      </w:rPr>
      <w:t>Primera</w:t>
    </w:r>
    <w:r w:rsidRPr="00B22975">
      <w:rPr>
        <w:b w:val="0"/>
        <w:bCs/>
        <w:sz w:val="22"/>
        <w:szCs w:val="22"/>
      </w:rPr>
      <w:t xml:space="preserve"> Sesión Ordinaria</w:t>
    </w:r>
    <w:r w:rsidR="00CD0D2D" w:rsidRPr="00CD0D2D">
      <w:t xml:space="preserve"> </w:t>
    </w:r>
  </w:p>
  <w:p w14:paraId="19D30034" w14:textId="77777777" w:rsidR="00B22975" w:rsidRPr="00B22975" w:rsidRDefault="00B22975" w:rsidP="00B229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B86F8" w14:textId="77777777" w:rsidR="00B22975" w:rsidRDefault="00B22975">
    <w:pPr>
      <w:pStyle w:val="Encabezado"/>
    </w:pPr>
  </w:p>
  <w:p w14:paraId="6455BC92" w14:textId="77777777" w:rsidR="00B22975" w:rsidRDefault="00B22975">
    <w:pPr>
      <w:pStyle w:val="Encabezado"/>
    </w:pPr>
  </w:p>
  <w:p w14:paraId="2000E22C" w14:textId="524AB77A" w:rsidR="00CB7A91" w:rsidRPr="00E0457A" w:rsidRDefault="00AE02F1" w:rsidP="00E0457A">
    <w:pPr>
      <w:pStyle w:val="Encabezado"/>
      <w:ind w:left="-567"/>
      <w:jc w:val="center"/>
    </w:pPr>
    <w:r>
      <w:rPr>
        <w:noProof/>
        <w:lang w:val="es-MX" w:eastAsia="es-MX"/>
      </w:rPr>
      <w:drawing>
        <wp:inline distT="0" distB="0" distL="0" distR="0" wp14:anchorId="06EFEE72" wp14:editId="4F146806">
          <wp:extent cx="5610225" cy="1219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3810"/>
                  <a:stretch/>
                </pic:blipFill>
                <pic:spPr bwMode="auto">
                  <a:xfrm>
                    <a:off x="0" y="0"/>
                    <a:ext cx="5610225" cy="1219200"/>
                  </a:xfrm>
                  <a:prstGeom prst="rect">
                    <a:avLst/>
                  </a:prstGeom>
                  <a:noFill/>
                  <a:ln>
                    <a:noFill/>
                  </a:ln>
                  <a:extLst>
                    <a:ext uri="{53640926-AAD7-44D8-BBD7-CCE9431645EC}">
                      <a14:shadowObscured xmlns:a14="http://schemas.microsoft.com/office/drawing/2010/main"/>
                    </a:ext>
                  </a:extLst>
                </pic:spPr>
              </pic:pic>
            </a:graphicData>
          </a:graphic>
        </wp:inline>
      </w:drawing>
    </w:r>
  </w:p>
  <w:p w14:paraId="5CF17C89" w14:textId="2E3A3C28" w:rsidR="00B22975" w:rsidRPr="00B22975" w:rsidRDefault="003F6380" w:rsidP="00B22975">
    <w:pPr>
      <w:pStyle w:val="Ttulo1"/>
      <w:rPr>
        <w:sz w:val="28"/>
        <w:szCs w:val="28"/>
      </w:rPr>
    </w:pPr>
    <w:r>
      <w:rPr>
        <w:sz w:val="28"/>
        <w:szCs w:val="28"/>
      </w:rPr>
      <w:t xml:space="preserve">Acta de la Primera </w:t>
    </w:r>
    <w:r w:rsidR="00B22975" w:rsidRPr="00CD0D2D">
      <w:rPr>
        <w:sz w:val="28"/>
        <w:szCs w:val="28"/>
      </w:rPr>
      <w:t>Sesión Ordinaria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63E1B"/>
    <w:multiLevelType w:val="hybridMultilevel"/>
    <w:tmpl w:val="4CE8BB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33A724E"/>
    <w:multiLevelType w:val="hybridMultilevel"/>
    <w:tmpl w:val="C8AE5B2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
    <w:nsid w:val="367678D6"/>
    <w:multiLevelType w:val="multilevel"/>
    <w:tmpl w:val="D56293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3C705D8A"/>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0914931"/>
    <w:multiLevelType w:val="hybridMultilevel"/>
    <w:tmpl w:val="42A2B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D963A1E"/>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7FC19F7"/>
    <w:multiLevelType w:val="hybridMultilevel"/>
    <w:tmpl w:val="F4D403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B732147"/>
    <w:multiLevelType w:val="hybridMultilevel"/>
    <w:tmpl w:val="4AE6C5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FC429F6"/>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10D04EE"/>
    <w:multiLevelType w:val="hybridMultilevel"/>
    <w:tmpl w:val="BD18CA8A"/>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nsid w:val="614C7C69"/>
    <w:multiLevelType w:val="hybridMultilevel"/>
    <w:tmpl w:val="7E96D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28B405A"/>
    <w:multiLevelType w:val="multilevel"/>
    <w:tmpl w:val="0146283A"/>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6593B15"/>
    <w:multiLevelType w:val="hybridMultilevel"/>
    <w:tmpl w:val="B4465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4F10D5F"/>
    <w:multiLevelType w:val="hybridMultilevel"/>
    <w:tmpl w:val="677691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1"/>
  </w:num>
  <w:num w:numId="5">
    <w:abstractNumId w:val="13"/>
  </w:num>
  <w:num w:numId="6">
    <w:abstractNumId w:val="6"/>
  </w:num>
  <w:num w:numId="7">
    <w:abstractNumId w:val="3"/>
  </w:num>
  <w:num w:numId="8">
    <w:abstractNumId w:val="8"/>
  </w:num>
  <w:num w:numId="9">
    <w:abstractNumId w:val="9"/>
  </w:num>
  <w:num w:numId="10">
    <w:abstractNumId w:val="5"/>
  </w:num>
  <w:num w:numId="11">
    <w:abstractNumId w:val="2"/>
  </w:num>
  <w:num w:numId="12">
    <w:abstractNumId w:val="12"/>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12"/>
    <w:rsid w:val="0000439D"/>
    <w:rsid w:val="00024594"/>
    <w:rsid w:val="0003088E"/>
    <w:rsid w:val="000321D8"/>
    <w:rsid w:val="0004477D"/>
    <w:rsid w:val="00061CB3"/>
    <w:rsid w:val="00077DE2"/>
    <w:rsid w:val="000A787E"/>
    <w:rsid w:val="000F3443"/>
    <w:rsid w:val="00117115"/>
    <w:rsid w:val="0016151D"/>
    <w:rsid w:val="00186749"/>
    <w:rsid w:val="00187922"/>
    <w:rsid w:val="001B08B4"/>
    <w:rsid w:val="001C71DE"/>
    <w:rsid w:val="001D706E"/>
    <w:rsid w:val="001E59AF"/>
    <w:rsid w:val="00206007"/>
    <w:rsid w:val="00211CA3"/>
    <w:rsid w:val="002120A0"/>
    <w:rsid w:val="00235B37"/>
    <w:rsid w:val="00252FEF"/>
    <w:rsid w:val="0027216E"/>
    <w:rsid w:val="002803DF"/>
    <w:rsid w:val="002873D1"/>
    <w:rsid w:val="00292DA5"/>
    <w:rsid w:val="002C181A"/>
    <w:rsid w:val="002C4BAC"/>
    <w:rsid w:val="002F3212"/>
    <w:rsid w:val="002F376F"/>
    <w:rsid w:val="002F7E3C"/>
    <w:rsid w:val="003015BE"/>
    <w:rsid w:val="00333274"/>
    <w:rsid w:val="00375CAA"/>
    <w:rsid w:val="00384DC2"/>
    <w:rsid w:val="003A7310"/>
    <w:rsid w:val="003B2AFA"/>
    <w:rsid w:val="003F495D"/>
    <w:rsid w:val="003F6380"/>
    <w:rsid w:val="00401596"/>
    <w:rsid w:val="00405826"/>
    <w:rsid w:val="00427B18"/>
    <w:rsid w:val="004644C5"/>
    <w:rsid w:val="004655F1"/>
    <w:rsid w:val="00475148"/>
    <w:rsid w:val="00482C3D"/>
    <w:rsid w:val="004D0ED2"/>
    <w:rsid w:val="0051331E"/>
    <w:rsid w:val="0054424E"/>
    <w:rsid w:val="00546EC3"/>
    <w:rsid w:val="005526F5"/>
    <w:rsid w:val="005B0363"/>
    <w:rsid w:val="005C5A66"/>
    <w:rsid w:val="00643A84"/>
    <w:rsid w:val="00651B3A"/>
    <w:rsid w:val="006848EE"/>
    <w:rsid w:val="006A268B"/>
    <w:rsid w:val="006B3FF0"/>
    <w:rsid w:val="0070207E"/>
    <w:rsid w:val="00703645"/>
    <w:rsid w:val="00744608"/>
    <w:rsid w:val="00771A6F"/>
    <w:rsid w:val="00833D91"/>
    <w:rsid w:val="0087022A"/>
    <w:rsid w:val="008931D8"/>
    <w:rsid w:val="008958D8"/>
    <w:rsid w:val="00924154"/>
    <w:rsid w:val="00947DCA"/>
    <w:rsid w:val="00995C30"/>
    <w:rsid w:val="009B0ED6"/>
    <w:rsid w:val="009B205A"/>
    <w:rsid w:val="009E2172"/>
    <w:rsid w:val="009E23BD"/>
    <w:rsid w:val="00A179EF"/>
    <w:rsid w:val="00A63404"/>
    <w:rsid w:val="00AE02F1"/>
    <w:rsid w:val="00AE4A27"/>
    <w:rsid w:val="00B22975"/>
    <w:rsid w:val="00B7704E"/>
    <w:rsid w:val="00B84336"/>
    <w:rsid w:val="00B91EA6"/>
    <w:rsid w:val="00B95E66"/>
    <w:rsid w:val="00BB174E"/>
    <w:rsid w:val="00BD7A12"/>
    <w:rsid w:val="00BE2EA5"/>
    <w:rsid w:val="00C017E9"/>
    <w:rsid w:val="00C324AE"/>
    <w:rsid w:val="00C7226B"/>
    <w:rsid w:val="00C80992"/>
    <w:rsid w:val="00C86FA3"/>
    <w:rsid w:val="00CB7A91"/>
    <w:rsid w:val="00CD0D2D"/>
    <w:rsid w:val="00CE3DA9"/>
    <w:rsid w:val="00CF6CD5"/>
    <w:rsid w:val="00D14E66"/>
    <w:rsid w:val="00D2631D"/>
    <w:rsid w:val="00D53A01"/>
    <w:rsid w:val="00D6293B"/>
    <w:rsid w:val="00D7571E"/>
    <w:rsid w:val="00DB169F"/>
    <w:rsid w:val="00DC0428"/>
    <w:rsid w:val="00DF3135"/>
    <w:rsid w:val="00E0457A"/>
    <w:rsid w:val="00E8113C"/>
    <w:rsid w:val="00E922D4"/>
    <w:rsid w:val="00EA6095"/>
    <w:rsid w:val="00EE1B49"/>
    <w:rsid w:val="00F02CB2"/>
    <w:rsid w:val="00F118E6"/>
    <w:rsid w:val="00F254BC"/>
    <w:rsid w:val="00FA2772"/>
    <w:rsid w:val="00FD21C7"/>
    <w:rsid w:val="00FF137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1457A"/>
  <w15:docId w15:val="{7DC06398-72AE-4498-966C-FF28D45E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FA3"/>
    <w:pPr>
      <w:jc w:val="both"/>
    </w:pPr>
    <w:rPr>
      <w:rFonts w:ascii="Arial" w:eastAsia="MS Mincho" w:hAnsi="Arial" w:cs="Times New Roman"/>
      <w:sz w:val="22"/>
      <w:lang w:eastAsia="es-ES"/>
    </w:rPr>
  </w:style>
  <w:style w:type="paragraph" w:styleId="Ttulo1">
    <w:name w:val="heading 1"/>
    <w:basedOn w:val="Normal"/>
    <w:next w:val="Normal"/>
    <w:link w:val="Ttulo1Car"/>
    <w:uiPriority w:val="9"/>
    <w:qFormat/>
    <w:rsid w:val="004D0ED2"/>
    <w:pPr>
      <w:keepNext/>
      <w:keepLines/>
      <w:spacing w:before="480" w:after="120"/>
      <w:jc w:val="center"/>
      <w:outlineLvl w:val="0"/>
    </w:pPr>
    <w:rPr>
      <w:b/>
      <w:color w:val="006078"/>
      <w:sz w:val="36"/>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rsid w:val="008B45E4"/>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4D0ED2"/>
    <w:pPr>
      <w:jc w:val="left"/>
    </w:pPr>
    <w:rPr>
      <w:rFonts w:eastAsia="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59"/>
    <w:rsid w:val="00996B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top w:w="0" w:type="dxa"/>
        <w:left w:w="108" w:type="dxa"/>
        <w:bottom w:w="0" w:type="dxa"/>
        <w:right w:w="108" w:type="dxa"/>
      </w:tblCellMar>
    </w:tblPr>
  </w:style>
  <w:style w:type="table" w:customStyle="1" w:styleId="2">
    <w:name w:val="2"/>
    <w:basedOn w:val="TableNormal1"/>
    <w:tblPr>
      <w:tblStyleRowBandSize w:val="1"/>
      <w:tblStyleColBandSize w:val="1"/>
      <w:tblCellMar>
        <w:top w:w="0" w:type="dxa"/>
        <w:left w:w="108" w:type="dxa"/>
        <w:bottom w:w="0" w:type="dxa"/>
        <w:right w:w="108" w:type="dxa"/>
      </w:tblCellMar>
    </w:tblPr>
  </w:style>
  <w:style w:type="table" w:customStyle="1" w:styleId="1">
    <w:name w:val="1"/>
    <w:basedOn w:val="TableNormal1"/>
    <w:tblPr>
      <w:tblStyleRowBandSize w:val="1"/>
      <w:tblStyleColBandSize w:val="1"/>
      <w:tblCellMar>
        <w:top w:w="0" w:type="dxa"/>
        <w:left w:w="108" w:type="dxa"/>
        <w:bottom w:w="0" w:type="dxa"/>
        <w:right w:w="108" w:type="dxa"/>
      </w:tblCellMar>
    </w:tblPr>
  </w:style>
  <w:style w:type="table" w:styleId="Cuadrculadetablaclara">
    <w:name w:val="Grid Table Light"/>
    <w:basedOn w:val="Tablanormal"/>
    <w:uiPriority w:val="40"/>
    <w:rsid w:val="00643A8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delista3-nfasis6">
    <w:name w:val="List Table 3 Accent 6"/>
    <w:basedOn w:val="Tablanormal"/>
    <w:uiPriority w:val="48"/>
    <w:rsid w:val="002F376F"/>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Ttulo1Car">
    <w:name w:val="Título 1 Car"/>
    <w:basedOn w:val="Fuentedeprrafopredeter"/>
    <w:link w:val="Ttulo1"/>
    <w:uiPriority w:val="9"/>
    <w:rsid w:val="00B22975"/>
    <w:rPr>
      <w:rFonts w:ascii="Arial" w:eastAsia="MS Mincho" w:hAnsi="Arial" w:cs="Times New Roman"/>
      <w:b/>
      <w:color w:val="006078"/>
      <w:sz w:val="36"/>
      <w:szCs w:val="4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1" ma:contentTypeDescription="Crear nuevo documento." ma:contentTypeScope="" ma:versionID="a4dcf1360c0af6a5fa94e83bbca31039">
  <xsd:schema xmlns:xsd="http://www.w3.org/2001/XMLSchema" xmlns:xs="http://www.w3.org/2001/XMLSchema" xmlns:p="http://schemas.microsoft.com/office/2006/metadata/properties" xmlns:ns3="e2d3aef2-ffb7-4886-b8a9-306dea04944a" xmlns:ns4="95eb37b8-2aaa-4bc5-a58e-c663c2ecbc36" targetNamespace="http://schemas.microsoft.com/office/2006/metadata/properties" ma:root="true" ma:fieldsID="dd773e50d5a76197530e8277f154864b" ns3:_="" ns4:_="">
    <xsd:import namespace="e2d3aef2-ffb7-4886-b8a9-306dea04944a"/>
    <xsd:import namespace="95eb37b8-2aaa-4bc5-a58e-c663c2ecbc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5B48B-76F9-4F00-A1C0-89DBB81BDEE8}">
  <ds:schemaRefs>
    <ds:schemaRef ds:uri="http://schemas.microsoft.com/sharepoint/v3/contenttype/forms"/>
  </ds:schemaRefs>
</ds:datastoreItem>
</file>

<file path=customXml/itemProps2.xml><?xml version="1.0" encoding="utf-8"?>
<ds:datastoreItem xmlns:ds="http://schemas.openxmlformats.org/officeDocument/2006/customXml" ds:itemID="{D9A9D9E5-C271-4BB7-A0DA-336CCAA21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3aef2-ffb7-4886-b8a9-306dea04944a"/>
    <ds:schemaRef ds:uri="95eb37b8-2aaa-4bc5-a58e-c663c2ecb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CE0A53B-5C84-4AEE-B70A-103F697E2E0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1C5B26C-350C-4E4C-8394-D69CFFEEA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3763</Words>
  <Characters>20697</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Paola</cp:lastModifiedBy>
  <cp:revision>2</cp:revision>
  <dcterms:created xsi:type="dcterms:W3CDTF">2021-03-03T19:46:00Z</dcterms:created>
  <dcterms:modified xsi:type="dcterms:W3CDTF">2021-03-03T19:46:00Z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